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5CDCB" w14:textId="189F5851" w:rsidR="00732028" w:rsidRPr="00CC7062" w:rsidRDefault="00E61EA5" w:rsidP="00B7238A">
      <w:pPr>
        <w:widowControl w:val="0"/>
        <w:autoSpaceDE w:val="0"/>
        <w:autoSpaceDN w:val="0"/>
        <w:ind w:left="806" w:right="490"/>
        <w:jc w:val="center"/>
        <w:outlineLvl w:val="0"/>
        <w:rPr>
          <w:rFonts w:ascii="Arial" w:eastAsia="Arial" w:hAnsi="Arial" w:cs="Arial"/>
          <w:b/>
          <w:bCs/>
          <w:sz w:val="26"/>
          <w:szCs w:val="26"/>
        </w:rPr>
      </w:pPr>
      <w:r w:rsidRPr="00CC7062">
        <w:rPr>
          <w:rFonts w:ascii="Arial" w:eastAsia="Arial" w:hAnsi="Arial" w:cs="Arial"/>
          <w:b/>
          <w:bCs/>
          <w:sz w:val="26"/>
          <w:szCs w:val="26"/>
        </w:rPr>
        <w:t xml:space="preserve">Comments by the </w:t>
      </w:r>
      <w:r w:rsidR="008E36E8" w:rsidRPr="00CC7062">
        <w:rPr>
          <w:rFonts w:ascii="Arial" w:eastAsia="Arial" w:hAnsi="Arial" w:cs="Arial"/>
          <w:b/>
          <w:bCs/>
          <w:sz w:val="26"/>
          <w:szCs w:val="26"/>
        </w:rPr>
        <w:t>Consortium for Common Food Names</w:t>
      </w:r>
    </w:p>
    <w:p w14:paraId="2DC3BC53" w14:textId="299B4B0D" w:rsidR="00982E15" w:rsidRPr="00CC7062" w:rsidRDefault="00BA1CE8" w:rsidP="00B7238A">
      <w:pPr>
        <w:widowControl w:val="0"/>
        <w:autoSpaceDE w:val="0"/>
        <w:autoSpaceDN w:val="0"/>
        <w:ind w:left="806" w:right="490"/>
        <w:jc w:val="center"/>
        <w:rPr>
          <w:rFonts w:ascii="Arial" w:eastAsia="Arial" w:hAnsi="Arial" w:cs="Arial"/>
          <w:b/>
          <w:sz w:val="26"/>
          <w:szCs w:val="26"/>
        </w:rPr>
      </w:pPr>
      <w:r w:rsidRPr="00CC7062">
        <w:rPr>
          <w:rFonts w:ascii="Arial" w:eastAsia="Arial" w:hAnsi="Arial" w:cs="Arial"/>
          <w:b/>
          <w:sz w:val="26"/>
          <w:szCs w:val="26"/>
        </w:rPr>
        <w:t>Regarding the 2</w:t>
      </w:r>
      <w:r w:rsidR="00FE2948" w:rsidRPr="00CC7062">
        <w:rPr>
          <w:rFonts w:ascii="Arial" w:eastAsia="Arial" w:hAnsi="Arial" w:cs="Arial"/>
          <w:b/>
          <w:sz w:val="26"/>
          <w:szCs w:val="26"/>
        </w:rPr>
        <w:t>02</w:t>
      </w:r>
      <w:r w:rsidR="00FC7592" w:rsidRPr="00CC7062">
        <w:rPr>
          <w:rFonts w:ascii="Arial" w:eastAsia="Arial" w:hAnsi="Arial" w:cs="Arial"/>
          <w:b/>
          <w:sz w:val="26"/>
          <w:szCs w:val="26"/>
        </w:rPr>
        <w:t>1</w:t>
      </w:r>
      <w:r w:rsidR="00E61EA5" w:rsidRPr="00CC7062">
        <w:rPr>
          <w:rFonts w:ascii="Arial" w:eastAsia="Arial" w:hAnsi="Arial" w:cs="Arial"/>
          <w:b/>
          <w:sz w:val="26"/>
          <w:szCs w:val="26"/>
        </w:rPr>
        <w:t xml:space="preserve"> Special 301 Review</w:t>
      </w:r>
      <w:r w:rsidR="00FC7592" w:rsidRPr="00CC7062">
        <w:rPr>
          <w:rFonts w:ascii="Arial" w:eastAsia="Arial" w:hAnsi="Arial" w:cs="Arial"/>
          <w:b/>
          <w:sz w:val="26"/>
          <w:szCs w:val="26"/>
        </w:rPr>
        <w:t xml:space="preserve"> (</w:t>
      </w:r>
      <w:r w:rsidR="00C47EC6" w:rsidRPr="00CC7062">
        <w:rPr>
          <w:rFonts w:ascii="Arial" w:eastAsia="Arial" w:hAnsi="Arial" w:cs="Arial"/>
          <w:b/>
          <w:sz w:val="26"/>
          <w:szCs w:val="26"/>
        </w:rPr>
        <w:t>Docket</w:t>
      </w:r>
      <w:r w:rsidR="00FC7592" w:rsidRPr="00CC7062">
        <w:rPr>
          <w:rFonts w:ascii="Arial" w:eastAsia="Arial" w:hAnsi="Arial" w:cs="Arial"/>
          <w:b/>
          <w:sz w:val="26"/>
          <w:szCs w:val="26"/>
        </w:rPr>
        <w:t>:</w:t>
      </w:r>
      <w:r w:rsidR="00C47EC6" w:rsidRPr="00CC7062">
        <w:rPr>
          <w:rFonts w:ascii="Arial" w:eastAsia="Arial" w:hAnsi="Arial" w:cs="Arial"/>
          <w:b/>
          <w:sz w:val="26"/>
          <w:szCs w:val="26"/>
        </w:rPr>
        <w:t xml:space="preserve"> </w:t>
      </w:r>
      <w:r w:rsidR="007106F6" w:rsidRPr="00CC7062">
        <w:rPr>
          <w:rFonts w:ascii="Arial" w:eastAsia="Arial" w:hAnsi="Arial" w:cs="Arial"/>
          <w:b/>
          <w:sz w:val="26"/>
          <w:szCs w:val="26"/>
        </w:rPr>
        <w:t>USTR-20</w:t>
      </w:r>
      <w:r w:rsidR="007F43E3" w:rsidRPr="00CC7062">
        <w:rPr>
          <w:rFonts w:ascii="Arial" w:eastAsia="Arial" w:hAnsi="Arial" w:cs="Arial"/>
          <w:b/>
          <w:sz w:val="26"/>
          <w:szCs w:val="26"/>
        </w:rPr>
        <w:t>20</w:t>
      </w:r>
      <w:r w:rsidR="007106F6" w:rsidRPr="00CC7062">
        <w:rPr>
          <w:rFonts w:ascii="Arial" w:eastAsia="Arial" w:hAnsi="Arial" w:cs="Arial"/>
          <w:b/>
          <w:sz w:val="26"/>
          <w:szCs w:val="26"/>
        </w:rPr>
        <w:t>-00</w:t>
      </w:r>
      <w:r w:rsidR="006131BE" w:rsidRPr="00CC7062">
        <w:rPr>
          <w:rFonts w:ascii="Arial" w:eastAsia="Arial" w:hAnsi="Arial" w:cs="Arial"/>
          <w:b/>
          <w:sz w:val="26"/>
          <w:szCs w:val="26"/>
        </w:rPr>
        <w:t>41</w:t>
      </w:r>
      <w:r w:rsidR="00FC7592" w:rsidRPr="00CC7062">
        <w:rPr>
          <w:rFonts w:ascii="Arial" w:eastAsia="Arial" w:hAnsi="Arial" w:cs="Arial"/>
          <w:b/>
          <w:sz w:val="26"/>
          <w:szCs w:val="26"/>
        </w:rPr>
        <w:t>)</w:t>
      </w:r>
    </w:p>
    <w:p w14:paraId="72E50BCF" w14:textId="4E269150" w:rsidR="00E61EA5" w:rsidRPr="00CC7062" w:rsidRDefault="007F43E3" w:rsidP="00B7238A">
      <w:pPr>
        <w:widowControl w:val="0"/>
        <w:autoSpaceDE w:val="0"/>
        <w:autoSpaceDN w:val="0"/>
        <w:ind w:left="806" w:right="490"/>
        <w:jc w:val="center"/>
        <w:rPr>
          <w:rFonts w:ascii="Arial" w:eastAsia="Arial" w:hAnsi="Arial" w:cs="Arial"/>
          <w:b/>
          <w:sz w:val="26"/>
          <w:szCs w:val="26"/>
        </w:rPr>
      </w:pPr>
      <w:r w:rsidRPr="00CC7062">
        <w:rPr>
          <w:rFonts w:ascii="Arial" w:eastAsia="Arial" w:hAnsi="Arial" w:cs="Arial"/>
          <w:b/>
          <w:sz w:val="26"/>
          <w:szCs w:val="26"/>
        </w:rPr>
        <w:t>January</w:t>
      </w:r>
      <w:r w:rsidR="0083122E" w:rsidRPr="00CC7062">
        <w:rPr>
          <w:rFonts w:ascii="Arial" w:eastAsia="Arial" w:hAnsi="Arial" w:cs="Arial"/>
          <w:b/>
          <w:sz w:val="26"/>
          <w:szCs w:val="26"/>
        </w:rPr>
        <w:t xml:space="preserve"> </w:t>
      </w:r>
      <w:r w:rsidRPr="00CC7062">
        <w:rPr>
          <w:rFonts w:ascii="Arial" w:eastAsia="Arial" w:hAnsi="Arial" w:cs="Arial"/>
          <w:b/>
          <w:sz w:val="26"/>
          <w:szCs w:val="26"/>
        </w:rPr>
        <w:t>28</w:t>
      </w:r>
      <w:r w:rsidR="0083122E" w:rsidRPr="00CC7062">
        <w:rPr>
          <w:rFonts w:ascii="Arial" w:eastAsia="Arial" w:hAnsi="Arial" w:cs="Arial"/>
          <w:b/>
          <w:sz w:val="26"/>
          <w:szCs w:val="26"/>
        </w:rPr>
        <w:t>, 20</w:t>
      </w:r>
      <w:r w:rsidR="00FE2948" w:rsidRPr="00CC7062">
        <w:rPr>
          <w:rFonts w:ascii="Arial" w:eastAsia="Arial" w:hAnsi="Arial" w:cs="Arial"/>
          <w:b/>
          <w:sz w:val="26"/>
          <w:szCs w:val="26"/>
        </w:rPr>
        <w:t>2</w:t>
      </w:r>
      <w:r w:rsidRPr="00CC7062">
        <w:rPr>
          <w:rFonts w:ascii="Arial" w:eastAsia="Arial" w:hAnsi="Arial" w:cs="Arial"/>
          <w:b/>
          <w:sz w:val="26"/>
          <w:szCs w:val="26"/>
        </w:rPr>
        <w:t>1</w:t>
      </w:r>
    </w:p>
    <w:p w14:paraId="340BC8D5" w14:textId="77777777" w:rsidR="008B6050" w:rsidRPr="00CC7062" w:rsidRDefault="008B6050" w:rsidP="00B7238A">
      <w:pPr>
        <w:widowControl w:val="0"/>
        <w:autoSpaceDE w:val="0"/>
        <w:autoSpaceDN w:val="0"/>
        <w:ind w:left="806" w:right="490"/>
        <w:jc w:val="both"/>
        <w:rPr>
          <w:rFonts w:ascii="Arial" w:eastAsia="Arial" w:hAnsi="Arial" w:cs="Arial"/>
          <w:b/>
          <w:sz w:val="26"/>
          <w:szCs w:val="26"/>
        </w:rPr>
      </w:pPr>
    </w:p>
    <w:p w14:paraId="58030334" w14:textId="77777777" w:rsidR="00E61EA5" w:rsidRPr="00CC7062" w:rsidRDefault="00E61EA5" w:rsidP="00B7238A">
      <w:pPr>
        <w:widowControl w:val="0"/>
        <w:autoSpaceDE w:val="0"/>
        <w:autoSpaceDN w:val="0"/>
        <w:ind w:left="810" w:right="490"/>
        <w:jc w:val="both"/>
        <w:rPr>
          <w:rFonts w:ascii="Arial" w:eastAsia="Arial" w:hAnsi="Arial" w:cs="Arial"/>
          <w:b/>
          <w:sz w:val="13"/>
        </w:rPr>
      </w:pPr>
    </w:p>
    <w:p w14:paraId="0343C8BF" w14:textId="20260E19" w:rsidR="003947D0" w:rsidRPr="00CC7062" w:rsidRDefault="007F43E3"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The Consortium for Common Food Names (CCFN)</w:t>
      </w:r>
      <w:r w:rsidR="00E61EA5" w:rsidRPr="00CC7062">
        <w:rPr>
          <w:rFonts w:ascii="Arial" w:eastAsia="Arial" w:hAnsi="Arial" w:cs="Arial"/>
        </w:rPr>
        <w:t xml:space="preserve"> submit</w:t>
      </w:r>
      <w:r w:rsidR="008E36E8" w:rsidRPr="00CC7062">
        <w:rPr>
          <w:rFonts w:ascii="Arial" w:eastAsia="Arial" w:hAnsi="Arial" w:cs="Arial"/>
        </w:rPr>
        <w:t>s</w:t>
      </w:r>
      <w:r w:rsidR="00E61EA5" w:rsidRPr="00CC7062">
        <w:rPr>
          <w:rFonts w:ascii="Arial" w:eastAsia="Arial" w:hAnsi="Arial" w:cs="Arial"/>
        </w:rPr>
        <w:t xml:space="preserve"> these comments in response to the notice of request for pub</w:t>
      </w:r>
      <w:r w:rsidR="0083122E" w:rsidRPr="00CC7062">
        <w:rPr>
          <w:rFonts w:ascii="Arial" w:eastAsia="Arial" w:hAnsi="Arial" w:cs="Arial"/>
        </w:rPr>
        <w:t>lic comments concerning the 20</w:t>
      </w:r>
      <w:r w:rsidR="00FE2948" w:rsidRPr="00CC7062">
        <w:rPr>
          <w:rFonts w:ascii="Arial" w:eastAsia="Arial" w:hAnsi="Arial" w:cs="Arial"/>
        </w:rPr>
        <w:t>2</w:t>
      </w:r>
      <w:r w:rsidRPr="00CC7062">
        <w:rPr>
          <w:rFonts w:ascii="Arial" w:eastAsia="Arial" w:hAnsi="Arial" w:cs="Arial"/>
        </w:rPr>
        <w:t>1</w:t>
      </w:r>
      <w:r w:rsidR="00E61EA5" w:rsidRPr="00CC7062">
        <w:rPr>
          <w:rFonts w:ascii="Arial" w:eastAsia="Arial" w:hAnsi="Arial" w:cs="Arial"/>
        </w:rPr>
        <w:t xml:space="preserve"> Special 301 Review: Identification of Countries Under Section 182 of the Trade Act </w:t>
      </w:r>
      <w:r w:rsidR="0083122E" w:rsidRPr="00CC7062">
        <w:rPr>
          <w:rFonts w:ascii="Arial" w:eastAsia="Arial" w:hAnsi="Arial" w:cs="Arial"/>
        </w:rPr>
        <w:t>of 1974 (Docket Number USTR-</w:t>
      </w:r>
      <w:r w:rsidR="00F511F0" w:rsidRPr="00CC7062">
        <w:rPr>
          <w:rFonts w:ascii="Arial" w:eastAsia="Arial" w:hAnsi="Arial" w:cs="Arial"/>
        </w:rPr>
        <w:t>20</w:t>
      </w:r>
      <w:r w:rsidRPr="00CC7062">
        <w:rPr>
          <w:rFonts w:ascii="Arial" w:eastAsia="Arial" w:hAnsi="Arial" w:cs="Arial"/>
        </w:rPr>
        <w:t>20</w:t>
      </w:r>
      <w:r w:rsidR="00F511F0" w:rsidRPr="00CC7062">
        <w:rPr>
          <w:rFonts w:ascii="Arial" w:eastAsia="Arial" w:hAnsi="Arial" w:cs="Arial"/>
        </w:rPr>
        <w:t>-00</w:t>
      </w:r>
      <w:r w:rsidR="006131BE" w:rsidRPr="00CC7062">
        <w:rPr>
          <w:rFonts w:ascii="Arial" w:eastAsia="Arial" w:hAnsi="Arial" w:cs="Arial"/>
        </w:rPr>
        <w:t>41</w:t>
      </w:r>
      <w:r w:rsidR="00E61EA5" w:rsidRPr="00CC7062">
        <w:rPr>
          <w:rFonts w:ascii="Arial" w:eastAsia="Arial" w:hAnsi="Arial" w:cs="Arial"/>
        </w:rPr>
        <w:t xml:space="preserve">).  </w:t>
      </w:r>
      <w:r w:rsidRPr="00CC7062">
        <w:rPr>
          <w:rFonts w:ascii="Arial" w:eastAsia="Arial" w:hAnsi="Arial" w:cs="Arial"/>
        </w:rPr>
        <w:t xml:space="preserve">CCFN </w:t>
      </w:r>
      <w:r w:rsidR="00E61EA5" w:rsidRPr="00CC7062">
        <w:rPr>
          <w:rFonts w:ascii="Arial" w:eastAsia="Arial" w:hAnsi="Arial" w:cs="Arial"/>
        </w:rPr>
        <w:t>appreciate</w:t>
      </w:r>
      <w:r w:rsidR="008E36E8" w:rsidRPr="00CC7062">
        <w:rPr>
          <w:rFonts w:ascii="Arial" w:eastAsia="Arial" w:hAnsi="Arial" w:cs="Arial"/>
        </w:rPr>
        <w:t>s</w:t>
      </w:r>
      <w:r w:rsidR="00E61EA5" w:rsidRPr="00CC7062">
        <w:rPr>
          <w:rFonts w:ascii="Arial" w:eastAsia="Arial" w:hAnsi="Arial" w:cs="Arial"/>
        </w:rPr>
        <w:t xml:space="preserve"> the opportunity to present </w:t>
      </w:r>
      <w:r w:rsidR="008E36E8" w:rsidRPr="00CC7062">
        <w:rPr>
          <w:rFonts w:ascii="Arial" w:eastAsia="Arial" w:hAnsi="Arial" w:cs="Arial"/>
        </w:rPr>
        <w:t>its</w:t>
      </w:r>
      <w:r w:rsidR="00E61EA5" w:rsidRPr="00CC7062">
        <w:rPr>
          <w:rFonts w:ascii="Arial" w:eastAsia="Arial" w:hAnsi="Arial" w:cs="Arial"/>
        </w:rPr>
        <w:t xml:space="preserve"> views on this important annual report. </w:t>
      </w:r>
    </w:p>
    <w:p w14:paraId="6ECC7B7E" w14:textId="77777777" w:rsidR="003947D0" w:rsidRPr="00CC7062" w:rsidRDefault="003947D0" w:rsidP="00B7238A">
      <w:pPr>
        <w:widowControl w:val="0"/>
        <w:tabs>
          <w:tab w:val="left" w:pos="810"/>
        </w:tabs>
        <w:autoSpaceDE w:val="0"/>
        <w:autoSpaceDN w:val="0"/>
        <w:ind w:right="450"/>
        <w:jc w:val="both"/>
        <w:rPr>
          <w:rFonts w:ascii="Arial" w:eastAsia="Arial" w:hAnsi="Arial" w:cs="Arial"/>
        </w:rPr>
      </w:pPr>
    </w:p>
    <w:p w14:paraId="37102A1A" w14:textId="78B55046" w:rsidR="007F43E3" w:rsidRPr="00CC7062" w:rsidRDefault="008E36E8"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Consortium for Common Food Names (CCFN) is an independent, international non-profit alliance that represents the interests of consumers, farmers, food producers and retailers. Membership includes companies and organizations from </w:t>
      </w:r>
      <w:r w:rsidR="006C117B" w:rsidRPr="00CC7062">
        <w:rPr>
          <w:rFonts w:ascii="Arial" w:eastAsia="Arial" w:hAnsi="Arial" w:cs="Arial"/>
        </w:rPr>
        <w:t xml:space="preserve">around </w:t>
      </w:r>
      <w:r w:rsidRPr="00CC7062">
        <w:rPr>
          <w:rFonts w:ascii="Arial" w:eastAsia="Arial" w:hAnsi="Arial" w:cs="Arial"/>
        </w:rPr>
        <w:t>the world, including in several emerging economies. Our mission is to preserve the legitimate right of producers and consumers worldwide to use common names, to protect the value of internationally recognized brands and to prevent new barriers to commerce.</w:t>
      </w:r>
      <w:r w:rsidR="00192CD7" w:rsidRPr="00CC7062">
        <w:rPr>
          <w:rFonts w:ascii="Arial" w:eastAsia="Arial" w:hAnsi="Arial" w:cs="Arial"/>
        </w:rPr>
        <w:t xml:space="preserve"> </w:t>
      </w:r>
    </w:p>
    <w:p w14:paraId="6FC83177" w14:textId="6E1E9817" w:rsidR="002B204C" w:rsidRPr="00CC7062" w:rsidRDefault="002B204C" w:rsidP="00B7238A">
      <w:pPr>
        <w:widowControl w:val="0"/>
        <w:tabs>
          <w:tab w:val="left" w:pos="810"/>
        </w:tabs>
        <w:autoSpaceDE w:val="0"/>
        <w:autoSpaceDN w:val="0"/>
        <w:ind w:right="450"/>
        <w:jc w:val="both"/>
        <w:rPr>
          <w:rFonts w:ascii="Arial" w:eastAsia="Arial" w:hAnsi="Arial" w:cs="Arial"/>
        </w:rPr>
      </w:pPr>
    </w:p>
    <w:p w14:paraId="26BD9FEB" w14:textId="29A6AC62" w:rsidR="002B204C" w:rsidRPr="00CC7062" w:rsidRDefault="002B204C" w:rsidP="00B7238A">
      <w:pPr>
        <w:widowControl w:val="0"/>
        <w:tabs>
          <w:tab w:val="num" w:pos="720"/>
          <w:tab w:val="left" w:pos="810"/>
        </w:tabs>
        <w:autoSpaceDE w:val="0"/>
        <w:autoSpaceDN w:val="0"/>
        <w:ind w:right="450"/>
        <w:jc w:val="both"/>
        <w:rPr>
          <w:rFonts w:ascii="Arial" w:eastAsia="Arial" w:hAnsi="Arial" w:cs="Arial"/>
        </w:rPr>
      </w:pPr>
      <w:r w:rsidRPr="00CC7062">
        <w:rPr>
          <w:rFonts w:ascii="Arial" w:eastAsia="Arial" w:hAnsi="Arial" w:cs="Arial"/>
        </w:rPr>
        <w:t>As the U.S. Supreme Court declared over 130 years ago in a case considering whether a trademark could restrict the use of a generic term: “</w:t>
      </w:r>
      <w:r w:rsidRPr="00CC7062">
        <w:rPr>
          <w:rFonts w:ascii="Arial" w:eastAsia="Arial" w:hAnsi="Arial" w:cs="Arial"/>
          <w:b/>
          <w:i/>
        </w:rPr>
        <w:t>the public would be injured, rather than protected, for competition would be destroyed</w:t>
      </w:r>
      <w:r w:rsidRPr="00CC7062">
        <w:rPr>
          <w:rFonts w:ascii="Arial" w:eastAsia="Arial" w:hAnsi="Arial" w:cs="Arial"/>
        </w:rPr>
        <w:t xml:space="preserve">” (Goodyear’s Rubber Manufacturing Co. v. Goodyear Rubber Co). This public harm is exactly the impact we are seeing proliferate, to the detriment of U.S. farmers, U.S. food and beverage producers, </w:t>
      </w:r>
      <w:r w:rsidR="00192CD7" w:rsidRPr="00CC7062">
        <w:rPr>
          <w:rFonts w:ascii="Arial" w:eastAsia="Arial" w:hAnsi="Arial" w:cs="Arial"/>
        </w:rPr>
        <w:t xml:space="preserve">U.S. workers in those sectors and supporting ones, </w:t>
      </w:r>
      <w:r w:rsidRPr="00CC7062">
        <w:rPr>
          <w:rFonts w:ascii="Arial" w:eastAsia="Arial" w:hAnsi="Arial" w:cs="Arial"/>
        </w:rPr>
        <w:t xml:space="preserve">and consumers </w:t>
      </w:r>
      <w:r w:rsidR="00192CD7" w:rsidRPr="00CC7062">
        <w:rPr>
          <w:rFonts w:ascii="Arial" w:eastAsia="Arial" w:hAnsi="Arial" w:cs="Arial"/>
        </w:rPr>
        <w:t>in many markets around</w:t>
      </w:r>
      <w:r w:rsidRPr="00CC7062">
        <w:rPr>
          <w:rFonts w:ascii="Arial" w:eastAsia="Arial" w:hAnsi="Arial" w:cs="Arial"/>
        </w:rPr>
        <w:t xml:space="preserve"> the world. </w:t>
      </w:r>
    </w:p>
    <w:p w14:paraId="6EA72EC4" w14:textId="77777777" w:rsidR="007F43E3" w:rsidRPr="00CC7062" w:rsidRDefault="007F43E3" w:rsidP="00B7238A">
      <w:pPr>
        <w:widowControl w:val="0"/>
        <w:tabs>
          <w:tab w:val="left" w:pos="810"/>
        </w:tabs>
        <w:autoSpaceDE w:val="0"/>
        <w:autoSpaceDN w:val="0"/>
        <w:ind w:right="450"/>
        <w:jc w:val="both"/>
        <w:rPr>
          <w:rFonts w:ascii="Arial" w:eastAsia="Arial" w:hAnsi="Arial" w:cs="Arial"/>
        </w:rPr>
      </w:pPr>
    </w:p>
    <w:p w14:paraId="16FD9795" w14:textId="4110A240" w:rsidR="00192CD7" w:rsidRPr="00CC7062" w:rsidRDefault="006E57E0" w:rsidP="00B7238A">
      <w:pPr>
        <w:widowControl w:val="0"/>
        <w:tabs>
          <w:tab w:val="left" w:pos="810"/>
        </w:tabs>
        <w:autoSpaceDE w:val="0"/>
        <w:autoSpaceDN w:val="0"/>
        <w:ind w:right="450"/>
        <w:jc w:val="both"/>
        <w:rPr>
          <w:rFonts w:ascii="Arial" w:eastAsia="Arial" w:hAnsi="Arial" w:cs="Arial"/>
          <w:u w:val="single"/>
        </w:rPr>
      </w:pPr>
      <w:r w:rsidRPr="00CC7062">
        <w:rPr>
          <w:rFonts w:ascii="Arial" w:eastAsia="Arial" w:hAnsi="Arial" w:cs="Arial"/>
        </w:rPr>
        <w:t xml:space="preserve">Too many trading partners continue to put in place </w:t>
      </w:r>
      <w:r w:rsidR="00394439" w:rsidRPr="00CC7062">
        <w:rPr>
          <w:rFonts w:ascii="Arial" w:eastAsia="Arial" w:hAnsi="Arial" w:cs="Arial"/>
        </w:rPr>
        <w:t xml:space="preserve">trade restrictions </w:t>
      </w:r>
      <w:r w:rsidRPr="00CC7062">
        <w:rPr>
          <w:rFonts w:ascii="Arial" w:eastAsia="Arial" w:hAnsi="Arial" w:cs="Arial"/>
        </w:rPr>
        <w:t xml:space="preserve">on the use of common food and beverage terms in ways </w:t>
      </w:r>
      <w:r w:rsidR="00394439" w:rsidRPr="00CC7062">
        <w:rPr>
          <w:rFonts w:ascii="Arial" w:eastAsia="Arial" w:hAnsi="Arial" w:cs="Arial"/>
        </w:rPr>
        <w:t>that run counter to our trading partners’ WTO</w:t>
      </w:r>
      <w:r w:rsidRPr="00CC7062">
        <w:rPr>
          <w:rFonts w:ascii="Arial" w:eastAsia="Arial" w:hAnsi="Arial" w:cs="Arial"/>
        </w:rPr>
        <w:t xml:space="preserve"> and/or FTA</w:t>
      </w:r>
      <w:r w:rsidR="00394439" w:rsidRPr="00CC7062">
        <w:rPr>
          <w:rFonts w:ascii="Arial" w:eastAsia="Arial" w:hAnsi="Arial" w:cs="Arial"/>
        </w:rPr>
        <w:t xml:space="preserve"> commitments and </w:t>
      </w:r>
      <w:r w:rsidRPr="00CC7062">
        <w:rPr>
          <w:rFonts w:ascii="Arial" w:eastAsia="Arial" w:hAnsi="Arial" w:cs="Arial"/>
        </w:rPr>
        <w:t>often flout the</w:t>
      </w:r>
      <w:r w:rsidR="00394439" w:rsidRPr="00CC7062">
        <w:rPr>
          <w:rFonts w:ascii="Arial" w:eastAsia="Arial" w:hAnsi="Arial" w:cs="Arial"/>
        </w:rPr>
        <w:t xml:space="preserve"> integrity of </w:t>
      </w:r>
      <w:r w:rsidRPr="00CC7062">
        <w:rPr>
          <w:rFonts w:ascii="Arial" w:eastAsia="Arial" w:hAnsi="Arial" w:cs="Arial"/>
        </w:rPr>
        <w:t xml:space="preserve">their </w:t>
      </w:r>
      <w:r w:rsidR="00394439" w:rsidRPr="00CC7062">
        <w:rPr>
          <w:rFonts w:ascii="Arial" w:eastAsia="Arial" w:hAnsi="Arial" w:cs="Arial"/>
        </w:rPr>
        <w:t>intellectual property syste</w:t>
      </w:r>
      <w:r w:rsidRPr="00CC7062">
        <w:rPr>
          <w:rFonts w:ascii="Arial" w:eastAsia="Arial" w:hAnsi="Arial" w:cs="Arial"/>
        </w:rPr>
        <w:t>m procedures</w:t>
      </w:r>
      <w:r w:rsidR="00394439" w:rsidRPr="00CC7062">
        <w:rPr>
          <w:rFonts w:ascii="Arial" w:eastAsia="Arial" w:hAnsi="Arial" w:cs="Arial"/>
        </w:rPr>
        <w:t>.</w:t>
      </w:r>
      <w:r w:rsidRPr="00CC7062">
        <w:rPr>
          <w:rFonts w:ascii="Arial" w:eastAsia="Arial" w:hAnsi="Arial" w:cs="Arial"/>
        </w:rPr>
        <w:t xml:space="preserve"> </w:t>
      </w:r>
      <w:r w:rsidR="00192CD7" w:rsidRPr="00CC7062">
        <w:rPr>
          <w:rFonts w:ascii="Arial" w:eastAsia="Arial" w:hAnsi="Arial" w:cs="Arial"/>
        </w:rPr>
        <w:t xml:space="preserve">Although public comment periods are now routinely used by most countries evaluating </w:t>
      </w:r>
      <w:r w:rsidR="00685D6D" w:rsidRPr="00CC7062">
        <w:rPr>
          <w:rFonts w:ascii="Arial" w:eastAsia="Arial" w:hAnsi="Arial" w:cs="Arial"/>
        </w:rPr>
        <w:t xml:space="preserve">EU </w:t>
      </w:r>
      <w:r w:rsidR="00192CD7" w:rsidRPr="00CC7062">
        <w:rPr>
          <w:rFonts w:ascii="Arial" w:eastAsia="Arial" w:hAnsi="Arial" w:cs="Arial"/>
        </w:rPr>
        <w:t>GIs</w:t>
      </w:r>
      <w:r w:rsidR="00685D6D" w:rsidRPr="00CC7062">
        <w:rPr>
          <w:rFonts w:ascii="Arial" w:eastAsia="Arial" w:hAnsi="Arial" w:cs="Arial"/>
        </w:rPr>
        <w:t xml:space="preserve"> considered as part of a trade agreement</w:t>
      </w:r>
      <w:r w:rsidR="00192CD7" w:rsidRPr="00CC7062">
        <w:rPr>
          <w:rFonts w:ascii="Arial" w:eastAsia="Arial" w:hAnsi="Arial" w:cs="Arial"/>
        </w:rPr>
        <w:t xml:space="preserve">, these procedures are conducted as pro forma exercises to simply determine which terms merit grandfathering vs. phase-out vs. immediate protection. </w:t>
      </w:r>
      <w:r w:rsidR="00685D6D" w:rsidRPr="00CC7062">
        <w:rPr>
          <w:rFonts w:ascii="Arial" w:eastAsia="Arial" w:hAnsi="Arial" w:cs="Arial"/>
          <w:u w:val="single"/>
        </w:rPr>
        <w:t>De</w:t>
      </w:r>
      <w:r w:rsidR="00192CD7" w:rsidRPr="00CC7062">
        <w:rPr>
          <w:rFonts w:ascii="Arial" w:eastAsia="Arial" w:hAnsi="Arial" w:cs="Arial"/>
          <w:u w:val="single"/>
        </w:rPr>
        <w:t xml:space="preserve">cisions on the </w:t>
      </w:r>
      <w:r w:rsidR="00685D6D" w:rsidRPr="00CC7062">
        <w:rPr>
          <w:rFonts w:ascii="Arial" w:eastAsia="Arial" w:hAnsi="Arial" w:cs="Arial"/>
          <w:u w:val="single"/>
        </w:rPr>
        <w:t xml:space="preserve">EU government’s requested </w:t>
      </w:r>
      <w:r w:rsidR="00192CD7" w:rsidRPr="00CC7062">
        <w:rPr>
          <w:rFonts w:ascii="Arial" w:eastAsia="Arial" w:hAnsi="Arial" w:cs="Arial"/>
          <w:u w:val="single"/>
        </w:rPr>
        <w:t xml:space="preserve">GIs are </w:t>
      </w:r>
      <w:r w:rsidR="00685D6D" w:rsidRPr="00CC7062">
        <w:rPr>
          <w:rFonts w:ascii="Arial" w:eastAsia="Arial" w:hAnsi="Arial" w:cs="Arial"/>
          <w:u w:val="single"/>
        </w:rPr>
        <w:t xml:space="preserve">now </w:t>
      </w:r>
      <w:r w:rsidR="00192CD7" w:rsidRPr="00CC7062">
        <w:rPr>
          <w:rFonts w:ascii="Arial" w:eastAsia="Arial" w:hAnsi="Arial" w:cs="Arial"/>
          <w:u w:val="single"/>
        </w:rPr>
        <w:t>made at the trade negotiating table, not by impartial IP examiners</w:t>
      </w:r>
      <w:r w:rsidR="00685D6D" w:rsidRPr="00CC7062">
        <w:rPr>
          <w:rFonts w:ascii="Arial" w:eastAsia="Arial" w:hAnsi="Arial" w:cs="Arial"/>
          <w:u w:val="single"/>
        </w:rPr>
        <w:t>.</w:t>
      </w:r>
      <w:r w:rsidR="00192CD7" w:rsidRPr="00CC7062">
        <w:rPr>
          <w:rFonts w:ascii="Arial" w:eastAsia="Arial" w:hAnsi="Arial" w:cs="Arial"/>
        </w:rPr>
        <w:t xml:space="preserve"> </w:t>
      </w:r>
    </w:p>
    <w:p w14:paraId="18198A82" w14:textId="77777777" w:rsidR="00192CD7" w:rsidRPr="00CC7062" w:rsidRDefault="00192CD7" w:rsidP="00B7238A">
      <w:pPr>
        <w:widowControl w:val="0"/>
        <w:tabs>
          <w:tab w:val="left" w:pos="810"/>
        </w:tabs>
        <w:autoSpaceDE w:val="0"/>
        <w:autoSpaceDN w:val="0"/>
        <w:ind w:right="450"/>
        <w:jc w:val="both"/>
        <w:rPr>
          <w:rFonts w:ascii="Arial" w:eastAsia="Arial" w:hAnsi="Arial" w:cs="Arial"/>
        </w:rPr>
      </w:pPr>
    </w:p>
    <w:p w14:paraId="7EC1219F" w14:textId="08550469" w:rsidR="006E57E0" w:rsidRPr="00CC7062" w:rsidRDefault="00192CD7"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This reality of where and how the decision-making on GIs sought by the EU government in its negotiation is taking place is abundantly clear from the increasing use of grandfathering and phase-out tools (which by themselves clearly indicate common usage of a term in a market) and by public remarks given by government officials from the EU and its trading partners regarding progress in their negotiations. </w:t>
      </w:r>
      <w:proofErr w:type="gramStart"/>
      <w:r w:rsidRPr="00CC7062">
        <w:rPr>
          <w:rFonts w:ascii="Arial" w:eastAsia="Arial" w:hAnsi="Arial" w:cs="Arial"/>
        </w:rPr>
        <w:t>In light of</w:t>
      </w:r>
      <w:proofErr w:type="gramEnd"/>
      <w:r w:rsidRPr="00CC7062">
        <w:rPr>
          <w:rFonts w:ascii="Arial" w:eastAsia="Arial" w:hAnsi="Arial" w:cs="Arial"/>
        </w:rPr>
        <w:t xml:space="preserve"> this dynamic of how GIs are dealt with in </w:t>
      </w:r>
      <w:r w:rsidRPr="00CC7062">
        <w:rPr>
          <w:rFonts w:ascii="Arial" w:eastAsia="Arial" w:hAnsi="Arial" w:cs="Arial"/>
          <w:u w:val="single"/>
        </w:rPr>
        <w:t>practice</w:t>
      </w:r>
      <w:r w:rsidRPr="00CC7062">
        <w:rPr>
          <w:rFonts w:ascii="Arial" w:eastAsia="Arial" w:hAnsi="Arial" w:cs="Arial"/>
        </w:rPr>
        <w:t>, w</w:t>
      </w:r>
      <w:r w:rsidR="006E57E0" w:rsidRPr="00CC7062">
        <w:rPr>
          <w:rFonts w:ascii="Arial" w:eastAsia="Arial" w:hAnsi="Arial" w:cs="Arial"/>
        </w:rPr>
        <w:t xml:space="preserve">e strongly urge the U.S. government to pursue a more targeted approach to effectively dealing with the abuse of geographical indications to create barriers to trade. </w:t>
      </w:r>
    </w:p>
    <w:p w14:paraId="2A687418" w14:textId="77777777" w:rsidR="006E57E0" w:rsidRPr="00CC7062" w:rsidRDefault="006E57E0" w:rsidP="00B7238A">
      <w:pPr>
        <w:widowControl w:val="0"/>
        <w:tabs>
          <w:tab w:val="left" w:pos="810"/>
        </w:tabs>
        <w:autoSpaceDE w:val="0"/>
        <w:autoSpaceDN w:val="0"/>
        <w:ind w:right="450"/>
        <w:jc w:val="both"/>
        <w:rPr>
          <w:rFonts w:ascii="Arial" w:eastAsia="Arial" w:hAnsi="Arial" w:cs="Arial"/>
        </w:rPr>
      </w:pPr>
    </w:p>
    <w:p w14:paraId="410658D7" w14:textId="77777777" w:rsidR="00192CD7" w:rsidRPr="00CC7062" w:rsidRDefault="006E57E0" w:rsidP="00B7238A">
      <w:pPr>
        <w:widowControl w:val="0"/>
        <w:tabs>
          <w:tab w:val="left" w:pos="810"/>
        </w:tabs>
        <w:autoSpaceDE w:val="0"/>
        <w:autoSpaceDN w:val="0"/>
        <w:ind w:right="450"/>
        <w:jc w:val="both"/>
        <w:rPr>
          <w:rFonts w:ascii="Arial" w:eastAsia="Arial" w:hAnsi="Arial" w:cs="Arial"/>
          <w:b/>
          <w:bCs/>
        </w:rPr>
      </w:pPr>
      <w:r w:rsidRPr="00CC7062">
        <w:rPr>
          <w:rFonts w:ascii="Arial" w:eastAsia="Arial" w:hAnsi="Arial" w:cs="Arial"/>
          <w:b/>
          <w:bCs/>
        </w:rPr>
        <w:t xml:space="preserve">To that end, we ask the Administration to support U.S. companies’ desire to compete fairly in foreign markets by securing firm and </w:t>
      </w:r>
      <w:r w:rsidRPr="00CC7062">
        <w:rPr>
          <w:rFonts w:ascii="Arial" w:eastAsia="Arial" w:hAnsi="Arial" w:cs="Arial"/>
          <w:b/>
          <w:bCs/>
          <w:u w:val="single"/>
        </w:rPr>
        <w:t>explicit</w:t>
      </w:r>
      <w:r w:rsidRPr="00CC7062">
        <w:rPr>
          <w:rFonts w:ascii="Arial" w:eastAsia="Arial" w:hAnsi="Arial" w:cs="Arial"/>
          <w:b/>
          <w:bCs/>
        </w:rPr>
        <w:t xml:space="preserve"> commitments assuring the future use of </w:t>
      </w:r>
      <w:r w:rsidRPr="00CC7062">
        <w:rPr>
          <w:rFonts w:ascii="Arial" w:eastAsia="Arial" w:hAnsi="Arial" w:cs="Arial"/>
          <w:b/>
          <w:bCs/>
          <w:u w:val="single"/>
        </w:rPr>
        <w:t>specific</w:t>
      </w:r>
      <w:r w:rsidRPr="00CC7062">
        <w:rPr>
          <w:rFonts w:ascii="Arial" w:eastAsia="Arial" w:hAnsi="Arial" w:cs="Arial"/>
          <w:b/>
          <w:bCs/>
        </w:rPr>
        <w:t xml:space="preserve"> generic food and beverage terms targeted by or at risk of EU monopolization efforts. </w:t>
      </w:r>
    </w:p>
    <w:p w14:paraId="111A6E4E" w14:textId="699AA551" w:rsidR="00192CD7" w:rsidRPr="00CC7062" w:rsidRDefault="00192CD7"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This approach is strongly supported by Congress as evidenced by the more than 160 Senators</w:t>
      </w:r>
      <w:r w:rsidR="00FC7592" w:rsidRPr="00CC7062">
        <w:rPr>
          <w:rStyle w:val="FootnoteReference"/>
          <w:rFonts w:ascii="Arial" w:eastAsia="Arial" w:hAnsi="Arial" w:cs="Arial"/>
        </w:rPr>
        <w:footnoteReference w:id="2"/>
      </w:r>
      <w:r w:rsidRPr="00CC7062">
        <w:rPr>
          <w:rFonts w:ascii="Arial" w:eastAsia="Arial" w:hAnsi="Arial" w:cs="Arial"/>
        </w:rPr>
        <w:t xml:space="preserve"> and Representatives</w:t>
      </w:r>
      <w:r w:rsidR="00FC7592" w:rsidRPr="00CC7062">
        <w:rPr>
          <w:rStyle w:val="FootnoteReference"/>
          <w:rFonts w:ascii="Arial" w:eastAsia="Arial" w:hAnsi="Arial" w:cs="Arial"/>
        </w:rPr>
        <w:footnoteReference w:id="3"/>
      </w:r>
      <w:r w:rsidRPr="00CC7062">
        <w:rPr>
          <w:rFonts w:ascii="Arial" w:eastAsia="Arial" w:hAnsi="Arial" w:cs="Arial"/>
        </w:rPr>
        <w:t xml:space="preserve"> that urged its pursuit just last year. </w:t>
      </w:r>
    </w:p>
    <w:p w14:paraId="28155EA7" w14:textId="77777777" w:rsidR="00192CD7" w:rsidRPr="00CC7062" w:rsidRDefault="00192CD7" w:rsidP="00B7238A">
      <w:pPr>
        <w:widowControl w:val="0"/>
        <w:tabs>
          <w:tab w:val="left" w:pos="810"/>
        </w:tabs>
        <w:autoSpaceDE w:val="0"/>
        <w:autoSpaceDN w:val="0"/>
        <w:ind w:right="450"/>
        <w:jc w:val="both"/>
        <w:rPr>
          <w:rFonts w:ascii="Arial" w:eastAsia="Arial" w:hAnsi="Arial" w:cs="Arial"/>
          <w:b/>
          <w:bCs/>
        </w:rPr>
      </w:pPr>
    </w:p>
    <w:p w14:paraId="50B55757" w14:textId="2B8B1110" w:rsidR="006E57E0" w:rsidRPr="00CC7062" w:rsidRDefault="006E57E0"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If the U.S. does not add this tactic specifically focused on preserving market access rights for our exporters to the U.S. government’s tool kit for tackling GI issues, U.S. exporters will continue to face more and more barriers to their products around the world, gradually choking off the growth and opportunities needed to best support American jobs and the production of Made-In-America foods and beverages.</w:t>
      </w:r>
      <w:r w:rsidRPr="00CC7062">
        <w:rPr>
          <w:rFonts w:ascii="Arial" w:eastAsia="Arial" w:hAnsi="Arial" w:cs="Arial"/>
          <w:b/>
          <w:bCs/>
        </w:rPr>
        <w:t xml:space="preserve"> </w:t>
      </w:r>
    </w:p>
    <w:p w14:paraId="069BAF3F" w14:textId="49B6DCF5" w:rsidR="00831A4A" w:rsidRPr="00CC7062" w:rsidRDefault="00831A4A" w:rsidP="00B7238A">
      <w:pPr>
        <w:widowControl w:val="0"/>
        <w:tabs>
          <w:tab w:val="left" w:pos="810"/>
        </w:tabs>
        <w:autoSpaceDE w:val="0"/>
        <w:autoSpaceDN w:val="0"/>
        <w:ind w:right="450"/>
        <w:jc w:val="both"/>
        <w:rPr>
          <w:rFonts w:ascii="Arial" w:eastAsia="Arial" w:hAnsi="Arial" w:cs="Arial"/>
        </w:rPr>
      </w:pPr>
    </w:p>
    <w:p w14:paraId="280CFD41" w14:textId="5DC22CC5" w:rsidR="00C67C54" w:rsidRPr="00CC7062" w:rsidRDefault="006E57E0"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challenge faced by users of common food and beverage terms facing protectionist efforts by the EU </w:t>
      </w:r>
      <w:r w:rsidR="003A59B2" w:rsidRPr="00CC7062">
        <w:rPr>
          <w:rFonts w:ascii="Arial" w:eastAsia="Arial" w:hAnsi="Arial" w:cs="Arial"/>
        </w:rPr>
        <w:t xml:space="preserve">government </w:t>
      </w:r>
      <w:r w:rsidRPr="00CC7062">
        <w:rPr>
          <w:rFonts w:ascii="Arial" w:eastAsia="Arial" w:hAnsi="Arial" w:cs="Arial"/>
        </w:rPr>
        <w:t xml:space="preserve">to bar competition from them is unlike the typical challenge faced in any other IP area. In </w:t>
      </w:r>
      <w:proofErr w:type="gramStart"/>
      <w:r w:rsidRPr="00CC7062">
        <w:rPr>
          <w:rFonts w:ascii="Arial" w:eastAsia="Arial" w:hAnsi="Arial" w:cs="Arial"/>
        </w:rPr>
        <w:t>the vast majority of</w:t>
      </w:r>
      <w:proofErr w:type="gramEnd"/>
      <w:r w:rsidRPr="00CC7062">
        <w:rPr>
          <w:rFonts w:ascii="Arial" w:eastAsia="Arial" w:hAnsi="Arial" w:cs="Arial"/>
        </w:rPr>
        <w:t xml:space="preserve"> cases, U.S. focus as it relates to IP issues is rightly and effectively focused on: 1) </w:t>
      </w:r>
      <w:r w:rsidR="00C67C54" w:rsidRPr="00CC7062">
        <w:rPr>
          <w:rFonts w:ascii="Arial" w:eastAsia="Arial" w:hAnsi="Arial" w:cs="Arial"/>
        </w:rPr>
        <w:t xml:space="preserve">crafting regulations that will provide protections for U.S. IP interests; and 2) encouraging foreign governments to ensure adequate enforcement of those regulations against the private sector. Following the first step of securing the right rules of the road, U.S. IP interests are typically pitted solely against the private sector interests of other countries. That is unfortunately far from the case for users of common food and beverage terms. </w:t>
      </w:r>
    </w:p>
    <w:p w14:paraId="16181214" w14:textId="77777777" w:rsidR="00C67C54" w:rsidRPr="00CC7062" w:rsidRDefault="00C67C54" w:rsidP="00B7238A">
      <w:pPr>
        <w:widowControl w:val="0"/>
        <w:tabs>
          <w:tab w:val="left" w:pos="810"/>
        </w:tabs>
        <w:autoSpaceDE w:val="0"/>
        <w:autoSpaceDN w:val="0"/>
        <w:ind w:right="450"/>
        <w:jc w:val="both"/>
        <w:rPr>
          <w:rFonts w:ascii="Arial" w:eastAsia="Arial" w:hAnsi="Arial" w:cs="Arial"/>
        </w:rPr>
      </w:pPr>
    </w:p>
    <w:p w14:paraId="7FD6187F" w14:textId="3235BDEF" w:rsidR="00C67C54" w:rsidRPr="00CC7062" w:rsidRDefault="00C67C54"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In the case of GIs and common food and beverage terms, the </w:t>
      </w:r>
      <w:r w:rsidR="00F27246" w:rsidRPr="00CC7062">
        <w:rPr>
          <w:rFonts w:ascii="Arial" w:eastAsia="Arial" w:hAnsi="Arial" w:cs="Arial"/>
        </w:rPr>
        <w:t xml:space="preserve">predatory practices </w:t>
      </w:r>
      <w:r w:rsidR="00E96FDF" w:rsidRPr="00CC7062">
        <w:rPr>
          <w:rFonts w:ascii="Arial" w:eastAsia="Arial" w:hAnsi="Arial" w:cs="Arial"/>
        </w:rPr>
        <w:t xml:space="preserve">plaguing </w:t>
      </w:r>
      <w:r w:rsidRPr="00CC7062">
        <w:rPr>
          <w:rFonts w:ascii="Arial" w:eastAsia="Arial" w:hAnsi="Arial" w:cs="Arial"/>
        </w:rPr>
        <w:t>U.S. companies are</w:t>
      </w:r>
      <w:r w:rsidR="00F27246" w:rsidRPr="00CC7062">
        <w:rPr>
          <w:rFonts w:ascii="Arial" w:eastAsia="Arial" w:hAnsi="Arial" w:cs="Arial"/>
        </w:rPr>
        <w:t xml:space="preserve"> not the work of rogue </w:t>
      </w:r>
      <w:r w:rsidRPr="00CC7062">
        <w:rPr>
          <w:rFonts w:ascii="Arial" w:eastAsia="Arial" w:hAnsi="Arial" w:cs="Arial"/>
        </w:rPr>
        <w:t>foreign firms</w:t>
      </w:r>
      <w:r w:rsidR="00F27246" w:rsidRPr="00CC7062">
        <w:rPr>
          <w:rFonts w:ascii="Arial" w:eastAsia="Arial" w:hAnsi="Arial" w:cs="Arial"/>
        </w:rPr>
        <w:t xml:space="preserve"> but instead are </w:t>
      </w:r>
      <w:r w:rsidRPr="00CC7062">
        <w:rPr>
          <w:rFonts w:ascii="Arial" w:eastAsia="Arial" w:hAnsi="Arial" w:cs="Arial"/>
        </w:rPr>
        <w:t xml:space="preserve">the result of </w:t>
      </w:r>
      <w:r w:rsidR="00F27246" w:rsidRPr="00CC7062">
        <w:rPr>
          <w:rFonts w:ascii="Arial" w:eastAsia="Arial" w:hAnsi="Arial" w:cs="Arial"/>
        </w:rPr>
        <w:t>a</w:t>
      </w:r>
      <w:r w:rsidRPr="00CC7062">
        <w:rPr>
          <w:rFonts w:ascii="Arial" w:eastAsia="Arial" w:hAnsi="Arial" w:cs="Arial"/>
        </w:rPr>
        <w:t>n international strategy by one of the world’s most powerful governments to use their</w:t>
      </w:r>
      <w:r w:rsidR="00F27246" w:rsidRPr="00CC7062">
        <w:rPr>
          <w:rFonts w:ascii="Arial" w:eastAsia="Arial" w:hAnsi="Arial" w:cs="Arial"/>
        </w:rPr>
        <w:t xml:space="preserve"> </w:t>
      </w:r>
      <w:r w:rsidRPr="00CC7062">
        <w:rPr>
          <w:rFonts w:ascii="Arial" w:eastAsia="Arial" w:hAnsi="Arial" w:cs="Arial"/>
        </w:rPr>
        <w:t xml:space="preserve">political </w:t>
      </w:r>
      <w:r w:rsidR="00F27246" w:rsidRPr="00CC7062">
        <w:rPr>
          <w:rFonts w:ascii="Arial" w:eastAsia="Arial" w:hAnsi="Arial" w:cs="Arial"/>
        </w:rPr>
        <w:t>influence and treasur</w:t>
      </w:r>
      <w:r w:rsidRPr="00CC7062">
        <w:rPr>
          <w:rFonts w:ascii="Arial" w:eastAsia="Arial" w:hAnsi="Arial" w:cs="Arial"/>
        </w:rPr>
        <w:t>y</w:t>
      </w:r>
      <w:r w:rsidR="00F27246" w:rsidRPr="00CC7062">
        <w:rPr>
          <w:rFonts w:ascii="Arial" w:eastAsia="Arial" w:hAnsi="Arial" w:cs="Arial"/>
        </w:rPr>
        <w:t xml:space="preserve"> to establish unique </w:t>
      </w:r>
      <w:r w:rsidR="00A85580" w:rsidRPr="00CC7062">
        <w:rPr>
          <w:rFonts w:ascii="Arial" w:eastAsia="Arial" w:hAnsi="Arial" w:cs="Arial"/>
        </w:rPr>
        <w:t xml:space="preserve">monopoly </w:t>
      </w:r>
      <w:r w:rsidR="00F27246" w:rsidRPr="00CC7062">
        <w:rPr>
          <w:rFonts w:ascii="Arial" w:eastAsia="Arial" w:hAnsi="Arial" w:cs="Arial"/>
        </w:rPr>
        <w:t xml:space="preserve">benefits for producers </w:t>
      </w:r>
      <w:r w:rsidRPr="00CC7062">
        <w:rPr>
          <w:rFonts w:ascii="Arial" w:eastAsia="Arial" w:hAnsi="Arial" w:cs="Arial"/>
        </w:rPr>
        <w:t xml:space="preserve">of common food and beverage products </w:t>
      </w:r>
      <w:r w:rsidR="00F27246" w:rsidRPr="00CC7062">
        <w:rPr>
          <w:rFonts w:ascii="Arial" w:eastAsia="Arial" w:hAnsi="Arial" w:cs="Arial"/>
        </w:rPr>
        <w:t xml:space="preserve">in EU countries. </w:t>
      </w:r>
      <w:r w:rsidRPr="00CC7062">
        <w:rPr>
          <w:rFonts w:ascii="Arial" w:eastAsia="Arial" w:hAnsi="Arial" w:cs="Arial"/>
        </w:rPr>
        <w:t xml:space="preserve">The U.S. private sector has neither the financial means nor the policy incentives necessary to effectively combat this foreign government pressure and spending. </w:t>
      </w:r>
    </w:p>
    <w:p w14:paraId="52C456BC" w14:textId="51404D20" w:rsidR="002B204C" w:rsidRPr="00CC7062" w:rsidRDefault="002B204C" w:rsidP="00B7238A">
      <w:pPr>
        <w:widowControl w:val="0"/>
        <w:tabs>
          <w:tab w:val="left" w:pos="810"/>
        </w:tabs>
        <w:autoSpaceDE w:val="0"/>
        <w:autoSpaceDN w:val="0"/>
        <w:ind w:right="450"/>
        <w:jc w:val="both"/>
        <w:rPr>
          <w:rFonts w:ascii="Arial" w:eastAsia="Arial" w:hAnsi="Arial" w:cs="Arial"/>
        </w:rPr>
      </w:pPr>
    </w:p>
    <w:p w14:paraId="1BE83532" w14:textId="39879E80" w:rsidR="0085673C" w:rsidRPr="00CC7062" w:rsidRDefault="00C67C54" w:rsidP="00B7238A">
      <w:pPr>
        <w:widowControl w:val="0"/>
        <w:tabs>
          <w:tab w:val="left" w:pos="810"/>
        </w:tabs>
        <w:autoSpaceDE w:val="0"/>
        <w:autoSpaceDN w:val="0"/>
        <w:ind w:right="450"/>
        <w:jc w:val="both"/>
        <w:rPr>
          <w:rFonts w:ascii="Arial" w:eastAsia="Arial" w:hAnsi="Arial" w:cs="Arial"/>
          <w:b/>
          <w:bCs/>
        </w:rPr>
      </w:pPr>
      <w:r w:rsidRPr="00CC7062">
        <w:rPr>
          <w:rFonts w:ascii="Arial" w:eastAsia="Arial" w:hAnsi="Arial" w:cs="Arial"/>
          <w:b/>
          <w:bCs/>
        </w:rPr>
        <w:t xml:space="preserve">Without a shift in U.S. policy to treat the misuse of GIs as the </w:t>
      </w:r>
      <w:proofErr w:type="spellStart"/>
      <w:r w:rsidRPr="00CC7062">
        <w:rPr>
          <w:rFonts w:ascii="Arial" w:eastAsia="Arial" w:hAnsi="Arial" w:cs="Arial"/>
          <w:b/>
          <w:bCs/>
          <w:i/>
          <w:iCs/>
        </w:rPr>
        <w:t>defacto</w:t>
      </w:r>
      <w:proofErr w:type="spellEnd"/>
      <w:r w:rsidRPr="00CC7062">
        <w:rPr>
          <w:rFonts w:ascii="Arial" w:eastAsia="Arial" w:hAnsi="Arial" w:cs="Arial"/>
          <w:b/>
          <w:bCs/>
        </w:rPr>
        <w:t xml:space="preserve"> non-tariff trade barrier they are and protect our market access rights in a concrete manner, we are David battling Goliath – without the benefit of a sling. </w:t>
      </w:r>
    </w:p>
    <w:p w14:paraId="541FB028" w14:textId="77777777" w:rsidR="0085673C" w:rsidRPr="00CC7062" w:rsidRDefault="0085673C" w:rsidP="00B7238A">
      <w:pPr>
        <w:widowControl w:val="0"/>
        <w:tabs>
          <w:tab w:val="left" w:pos="810"/>
        </w:tabs>
        <w:autoSpaceDE w:val="0"/>
        <w:autoSpaceDN w:val="0"/>
        <w:ind w:right="450"/>
        <w:jc w:val="both"/>
        <w:rPr>
          <w:rFonts w:ascii="Arial" w:eastAsia="Arial" w:hAnsi="Arial" w:cs="Arial"/>
        </w:rPr>
      </w:pPr>
    </w:p>
    <w:p w14:paraId="1AE0216E" w14:textId="77777777" w:rsidR="003947D0" w:rsidRPr="00CC7062" w:rsidRDefault="003947D0" w:rsidP="00B7238A">
      <w:pPr>
        <w:widowControl w:val="0"/>
        <w:tabs>
          <w:tab w:val="left" w:pos="810"/>
        </w:tabs>
        <w:autoSpaceDE w:val="0"/>
        <w:autoSpaceDN w:val="0"/>
        <w:ind w:right="450"/>
        <w:jc w:val="both"/>
        <w:rPr>
          <w:rFonts w:ascii="Arial" w:eastAsia="Arial" w:hAnsi="Arial" w:cs="Arial"/>
        </w:rPr>
      </w:pPr>
    </w:p>
    <w:p w14:paraId="2A2658FF" w14:textId="6F19105B" w:rsidR="003947D0" w:rsidRPr="00CC7062" w:rsidRDefault="00C67C54" w:rsidP="00B7238A">
      <w:pPr>
        <w:widowControl w:val="0"/>
        <w:tabs>
          <w:tab w:val="left" w:pos="810"/>
        </w:tabs>
        <w:autoSpaceDE w:val="0"/>
        <w:autoSpaceDN w:val="0"/>
        <w:ind w:right="450"/>
        <w:jc w:val="both"/>
        <w:rPr>
          <w:rFonts w:ascii="Arial" w:eastAsia="Arial" w:hAnsi="Arial" w:cs="Arial"/>
          <w:b/>
          <w:u w:val="single"/>
        </w:rPr>
      </w:pPr>
      <w:r w:rsidRPr="00CC7062">
        <w:rPr>
          <w:rFonts w:ascii="Arial" w:eastAsia="Arial" w:hAnsi="Arial" w:cs="Arial"/>
          <w:b/>
          <w:u w:val="single"/>
        </w:rPr>
        <w:t xml:space="preserve">Overview of Global Dynamic: </w:t>
      </w:r>
    </w:p>
    <w:p w14:paraId="1C284FA6" w14:textId="77777777" w:rsidR="003947D0" w:rsidRPr="00CC7062" w:rsidRDefault="003947D0" w:rsidP="00B7238A">
      <w:pPr>
        <w:widowControl w:val="0"/>
        <w:tabs>
          <w:tab w:val="left" w:pos="810"/>
        </w:tabs>
        <w:autoSpaceDE w:val="0"/>
        <w:autoSpaceDN w:val="0"/>
        <w:ind w:right="450"/>
        <w:jc w:val="both"/>
        <w:rPr>
          <w:rFonts w:ascii="Arial" w:eastAsia="Arial" w:hAnsi="Arial" w:cs="Arial"/>
        </w:rPr>
      </w:pPr>
    </w:p>
    <w:p w14:paraId="6CAB4B45" w14:textId="3621B35F" w:rsidR="008812AC" w:rsidRPr="00CC7062" w:rsidRDefault="008812AC"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This year marks the 25</w:t>
      </w:r>
      <w:r w:rsidRPr="00CC7062">
        <w:rPr>
          <w:rFonts w:ascii="Arial" w:eastAsia="Arial" w:hAnsi="Arial" w:cs="Arial"/>
          <w:vertAlign w:val="superscript"/>
        </w:rPr>
        <w:t>th</w:t>
      </w:r>
      <w:r w:rsidRPr="00CC7062">
        <w:rPr>
          <w:rFonts w:ascii="Arial" w:eastAsia="Arial" w:hAnsi="Arial" w:cs="Arial"/>
        </w:rPr>
        <w:t xml:space="preserve"> anniversary of a tragic event in the history of companies relying on the use of common food and beverage terms long entrenched in the public domain</w:t>
      </w:r>
      <w:r w:rsidR="00367F50" w:rsidRPr="00CC7062">
        <w:rPr>
          <w:rFonts w:ascii="Arial" w:eastAsia="Arial" w:hAnsi="Arial" w:cs="Arial"/>
        </w:rPr>
        <w:t xml:space="preserve">: the establishment of an EU-wide list of GIs that contained numerous commonly used terms and was accompanied by a scope of protection that has amounted to barring anything the EU </w:t>
      </w:r>
      <w:r w:rsidR="003A59B2" w:rsidRPr="00CC7062">
        <w:rPr>
          <w:rFonts w:ascii="Arial" w:eastAsia="Arial" w:hAnsi="Arial" w:cs="Arial"/>
        </w:rPr>
        <w:t>government deems to be</w:t>
      </w:r>
      <w:r w:rsidR="00367F50" w:rsidRPr="00CC7062">
        <w:rPr>
          <w:rFonts w:ascii="Arial" w:eastAsia="Arial" w:hAnsi="Arial" w:cs="Arial"/>
        </w:rPr>
        <w:t xml:space="preserve"> </w:t>
      </w:r>
      <w:r w:rsidR="003A59B2" w:rsidRPr="00CC7062">
        <w:rPr>
          <w:rFonts w:ascii="Arial" w:eastAsia="Arial" w:hAnsi="Arial" w:cs="Arial"/>
        </w:rPr>
        <w:t xml:space="preserve">somewhat </w:t>
      </w:r>
      <w:proofErr w:type="gramStart"/>
      <w:r w:rsidR="00367F50" w:rsidRPr="00CC7062">
        <w:rPr>
          <w:rFonts w:ascii="Arial" w:eastAsia="Arial" w:hAnsi="Arial" w:cs="Arial"/>
        </w:rPr>
        <w:t>similar to</w:t>
      </w:r>
      <w:proofErr w:type="gramEnd"/>
      <w:r w:rsidR="00367F50" w:rsidRPr="00CC7062">
        <w:rPr>
          <w:rFonts w:ascii="Arial" w:eastAsia="Arial" w:hAnsi="Arial" w:cs="Arial"/>
        </w:rPr>
        <w:t xml:space="preserve"> a high-value GI. </w:t>
      </w:r>
    </w:p>
    <w:p w14:paraId="2739082A" w14:textId="77777777" w:rsidR="008812AC" w:rsidRPr="00CC7062" w:rsidRDefault="008812AC" w:rsidP="00B7238A">
      <w:pPr>
        <w:widowControl w:val="0"/>
        <w:tabs>
          <w:tab w:val="left" w:pos="810"/>
        </w:tabs>
        <w:autoSpaceDE w:val="0"/>
        <w:autoSpaceDN w:val="0"/>
        <w:ind w:right="450"/>
        <w:jc w:val="both"/>
        <w:rPr>
          <w:rFonts w:ascii="Arial" w:eastAsia="Arial" w:hAnsi="Arial" w:cs="Arial"/>
        </w:rPr>
      </w:pPr>
    </w:p>
    <w:p w14:paraId="02A8B050" w14:textId="0FB89AD0" w:rsidR="003A59B2" w:rsidRPr="00CC7062" w:rsidRDefault="003A59B2"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In intentionally erecting trade barriers to U.S. through its own internal GI policies and the exporting of those policies via EU trade agreements, the EU government has pursued a </w:t>
      </w:r>
      <w:r w:rsidR="00367F50" w:rsidRPr="00CC7062">
        <w:rPr>
          <w:rFonts w:ascii="Arial" w:eastAsia="Arial" w:hAnsi="Arial" w:cs="Arial"/>
        </w:rPr>
        <w:t xml:space="preserve">multi-prong approach of: </w:t>
      </w:r>
    </w:p>
    <w:p w14:paraId="4F4512FE" w14:textId="2B3095F2" w:rsidR="003A59B2" w:rsidRPr="00CC7062" w:rsidRDefault="003A59B2" w:rsidP="00B7238A">
      <w:pPr>
        <w:pStyle w:val="ListParagraph"/>
        <w:widowControl w:val="0"/>
        <w:numPr>
          <w:ilvl w:val="0"/>
          <w:numId w:val="29"/>
        </w:numPr>
        <w:tabs>
          <w:tab w:val="left" w:pos="810"/>
        </w:tabs>
        <w:autoSpaceDE w:val="0"/>
        <w:autoSpaceDN w:val="0"/>
        <w:ind w:right="450"/>
        <w:jc w:val="both"/>
        <w:rPr>
          <w:rFonts w:ascii="Arial" w:eastAsia="Arial" w:hAnsi="Arial" w:cs="Arial"/>
        </w:rPr>
      </w:pPr>
      <w:r w:rsidRPr="00CC7062">
        <w:rPr>
          <w:rFonts w:ascii="Arial" w:eastAsia="Arial" w:hAnsi="Arial" w:cs="Arial"/>
        </w:rPr>
        <w:t>R</w:t>
      </w:r>
      <w:r w:rsidR="00367F50" w:rsidRPr="00CC7062">
        <w:rPr>
          <w:rFonts w:ascii="Arial" w:eastAsia="Arial" w:hAnsi="Arial" w:cs="Arial"/>
        </w:rPr>
        <w:t>egistering terms already widely used by other producers, both within and outside the EU</w:t>
      </w:r>
      <w:r w:rsidRPr="00CC7062">
        <w:rPr>
          <w:rFonts w:ascii="Arial" w:eastAsia="Arial" w:hAnsi="Arial" w:cs="Arial"/>
        </w:rPr>
        <w:t xml:space="preserve"> (e.g., “feta” cheese, “prosecco” wine and “</w:t>
      </w:r>
      <w:proofErr w:type="spellStart"/>
      <w:r w:rsidRPr="00CC7062">
        <w:rPr>
          <w:rFonts w:ascii="Arial" w:eastAsia="Arial" w:hAnsi="Arial" w:cs="Arial"/>
        </w:rPr>
        <w:t>muenchener</w:t>
      </w:r>
      <w:proofErr w:type="spellEnd"/>
      <w:r w:rsidRPr="00CC7062">
        <w:rPr>
          <w:rFonts w:ascii="Arial" w:eastAsia="Arial" w:hAnsi="Arial" w:cs="Arial"/>
        </w:rPr>
        <w:t>” beer),</w:t>
      </w:r>
      <w:r w:rsidR="00367F50" w:rsidRPr="00CC7062">
        <w:rPr>
          <w:rFonts w:ascii="Arial" w:eastAsia="Arial" w:hAnsi="Arial" w:cs="Arial"/>
        </w:rPr>
        <w:t xml:space="preserve"> and </w:t>
      </w:r>
    </w:p>
    <w:p w14:paraId="04622251" w14:textId="77777777" w:rsidR="003A59B2" w:rsidRPr="00CC7062" w:rsidRDefault="003A59B2" w:rsidP="00B7238A">
      <w:pPr>
        <w:pStyle w:val="ListParagraph"/>
        <w:widowControl w:val="0"/>
        <w:tabs>
          <w:tab w:val="left" w:pos="810"/>
        </w:tabs>
        <w:autoSpaceDE w:val="0"/>
        <w:autoSpaceDN w:val="0"/>
        <w:ind w:right="450"/>
        <w:jc w:val="both"/>
        <w:rPr>
          <w:rFonts w:ascii="Arial" w:eastAsia="Arial" w:hAnsi="Arial" w:cs="Arial"/>
        </w:rPr>
      </w:pPr>
    </w:p>
    <w:p w14:paraId="5EC990BA" w14:textId="77777777" w:rsidR="003A59B2" w:rsidRPr="00CC7062" w:rsidRDefault="003A59B2" w:rsidP="00B7238A">
      <w:pPr>
        <w:pStyle w:val="ListParagraph"/>
        <w:widowControl w:val="0"/>
        <w:numPr>
          <w:ilvl w:val="0"/>
          <w:numId w:val="29"/>
        </w:numPr>
        <w:tabs>
          <w:tab w:val="left" w:pos="810"/>
        </w:tabs>
        <w:autoSpaceDE w:val="0"/>
        <w:autoSpaceDN w:val="0"/>
        <w:ind w:right="450"/>
        <w:jc w:val="both"/>
        <w:rPr>
          <w:rFonts w:ascii="Arial" w:eastAsia="Arial" w:hAnsi="Arial" w:cs="Arial"/>
        </w:rPr>
      </w:pPr>
      <w:r w:rsidRPr="00CC7062">
        <w:rPr>
          <w:rFonts w:ascii="Arial" w:eastAsia="Arial" w:hAnsi="Arial" w:cs="Arial"/>
        </w:rPr>
        <w:t>E</w:t>
      </w:r>
      <w:r w:rsidR="00367F50" w:rsidRPr="00CC7062">
        <w:rPr>
          <w:rFonts w:ascii="Arial" w:eastAsia="Arial" w:hAnsi="Arial" w:cs="Arial"/>
        </w:rPr>
        <w:t xml:space="preserve">stablishing an exceedingly broad </w:t>
      </w:r>
      <w:r w:rsidRPr="00CC7062">
        <w:rPr>
          <w:rFonts w:ascii="Arial" w:eastAsia="Arial" w:hAnsi="Arial" w:cs="Arial"/>
        </w:rPr>
        <w:t>yet often unclear</w:t>
      </w:r>
      <w:r w:rsidR="00367F50" w:rsidRPr="00CC7062">
        <w:rPr>
          <w:rFonts w:ascii="Arial" w:eastAsia="Arial" w:hAnsi="Arial" w:cs="Arial"/>
        </w:rPr>
        <w:t xml:space="preserve"> scope of protection for multi-component GIs that can include</w:t>
      </w:r>
      <w:r w:rsidRPr="00CC7062">
        <w:rPr>
          <w:rFonts w:ascii="Arial" w:eastAsia="Arial" w:hAnsi="Arial" w:cs="Arial"/>
        </w:rPr>
        <w:t xml:space="preserve">, </w:t>
      </w:r>
      <w:r w:rsidR="00367F50" w:rsidRPr="00CC7062">
        <w:rPr>
          <w:rFonts w:ascii="Arial" w:eastAsia="Arial" w:hAnsi="Arial" w:cs="Arial"/>
        </w:rPr>
        <w:t>as the EU see fits</w:t>
      </w:r>
      <w:r w:rsidRPr="00CC7062">
        <w:rPr>
          <w:rFonts w:ascii="Arial" w:eastAsia="Arial" w:hAnsi="Arial" w:cs="Arial"/>
        </w:rPr>
        <w:t xml:space="preserve">: </w:t>
      </w:r>
    </w:p>
    <w:p w14:paraId="5EB7D48F" w14:textId="6155CF53" w:rsidR="003A59B2" w:rsidRPr="00CC7062" w:rsidRDefault="00367F50" w:rsidP="00B7238A">
      <w:pPr>
        <w:pStyle w:val="ListParagraph"/>
        <w:widowControl w:val="0"/>
        <w:numPr>
          <w:ilvl w:val="1"/>
          <w:numId w:val="29"/>
        </w:numPr>
        <w:tabs>
          <w:tab w:val="left" w:pos="810"/>
        </w:tabs>
        <w:autoSpaceDE w:val="0"/>
        <w:autoSpaceDN w:val="0"/>
        <w:ind w:right="450"/>
        <w:jc w:val="both"/>
        <w:rPr>
          <w:rFonts w:ascii="Arial" w:eastAsia="Arial" w:hAnsi="Arial" w:cs="Arial"/>
        </w:rPr>
      </w:pPr>
      <w:r w:rsidRPr="00CC7062">
        <w:rPr>
          <w:rFonts w:ascii="Arial" w:eastAsia="Arial" w:hAnsi="Arial" w:cs="Arial"/>
        </w:rPr>
        <w:t>multiple words in a multi-term GI</w:t>
      </w:r>
      <w:r w:rsidR="003A59B2" w:rsidRPr="00CC7062">
        <w:rPr>
          <w:rFonts w:ascii="Arial" w:eastAsia="Arial" w:hAnsi="Arial" w:cs="Arial"/>
        </w:rPr>
        <w:t xml:space="preserve"> (e.g., both the grape varietal “</w:t>
      </w:r>
      <w:proofErr w:type="spellStart"/>
      <w:r w:rsidR="003A59B2" w:rsidRPr="00CC7062">
        <w:rPr>
          <w:rFonts w:ascii="Arial" w:eastAsia="Arial" w:hAnsi="Arial" w:cs="Arial"/>
        </w:rPr>
        <w:t>montepulciano</w:t>
      </w:r>
      <w:proofErr w:type="spellEnd"/>
      <w:r w:rsidR="003A59B2" w:rsidRPr="00CC7062">
        <w:rPr>
          <w:rFonts w:ascii="Arial" w:eastAsia="Arial" w:hAnsi="Arial" w:cs="Arial"/>
        </w:rPr>
        <w:t xml:space="preserve">” and the regional term “Abruzzo” in the GI “Montepulciano </w:t>
      </w:r>
      <w:proofErr w:type="spellStart"/>
      <w:r w:rsidR="003A59B2" w:rsidRPr="00CC7062">
        <w:rPr>
          <w:rFonts w:ascii="Arial" w:eastAsia="Arial" w:hAnsi="Arial" w:cs="Arial"/>
        </w:rPr>
        <w:t>d'Abruzzo</w:t>
      </w:r>
      <w:proofErr w:type="spellEnd"/>
      <w:r w:rsidR="003A59B2" w:rsidRPr="00CC7062">
        <w:rPr>
          <w:rFonts w:ascii="Arial" w:eastAsia="Arial" w:hAnsi="Arial" w:cs="Arial"/>
        </w:rPr>
        <w:t>”)</w:t>
      </w:r>
      <w:r w:rsidR="001D3AF2" w:rsidRPr="00CC7062">
        <w:rPr>
          <w:rFonts w:ascii="Arial" w:eastAsia="Arial" w:hAnsi="Arial" w:cs="Arial"/>
        </w:rPr>
        <w:t>,</w:t>
      </w:r>
    </w:p>
    <w:p w14:paraId="0C3677BB" w14:textId="33FF8EE7" w:rsidR="003A59B2" w:rsidRPr="00CC7062" w:rsidRDefault="00367F50" w:rsidP="00B7238A">
      <w:pPr>
        <w:pStyle w:val="ListParagraph"/>
        <w:widowControl w:val="0"/>
        <w:numPr>
          <w:ilvl w:val="1"/>
          <w:numId w:val="29"/>
        </w:numPr>
        <w:tabs>
          <w:tab w:val="left" w:pos="810"/>
        </w:tabs>
        <w:autoSpaceDE w:val="0"/>
        <w:autoSpaceDN w:val="0"/>
        <w:ind w:right="450"/>
        <w:jc w:val="both"/>
        <w:rPr>
          <w:rFonts w:ascii="Arial" w:eastAsia="Arial" w:hAnsi="Arial" w:cs="Arial"/>
        </w:rPr>
      </w:pPr>
      <w:r w:rsidRPr="00CC7062">
        <w:rPr>
          <w:rFonts w:ascii="Arial" w:eastAsia="Arial" w:hAnsi="Arial" w:cs="Arial"/>
        </w:rPr>
        <w:t>only one words in a multi-term GI</w:t>
      </w:r>
      <w:r w:rsidR="003A59B2" w:rsidRPr="00CC7062">
        <w:rPr>
          <w:rFonts w:ascii="Arial" w:eastAsia="Arial" w:hAnsi="Arial" w:cs="Arial"/>
        </w:rPr>
        <w:t xml:space="preserve"> (e.g., just “bologna” in the GI “Mortadella Bologna”)</w:t>
      </w:r>
      <w:r w:rsidR="001D3AF2" w:rsidRPr="00CC7062">
        <w:rPr>
          <w:rFonts w:ascii="Arial" w:eastAsia="Arial" w:hAnsi="Arial" w:cs="Arial"/>
        </w:rPr>
        <w:t>,</w:t>
      </w:r>
    </w:p>
    <w:p w14:paraId="3FD5EFD0" w14:textId="5F75DA2F" w:rsidR="008812AC" w:rsidRPr="00CC7062" w:rsidRDefault="00367F50" w:rsidP="00B7238A">
      <w:pPr>
        <w:pStyle w:val="ListParagraph"/>
        <w:widowControl w:val="0"/>
        <w:numPr>
          <w:ilvl w:val="1"/>
          <w:numId w:val="29"/>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words not even contained in the GI yet </w:t>
      </w:r>
      <w:r w:rsidR="003A59B2" w:rsidRPr="00CC7062">
        <w:rPr>
          <w:rFonts w:ascii="Arial" w:eastAsia="Arial" w:hAnsi="Arial" w:cs="Arial"/>
        </w:rPr>
        <w:t xml:space="preserve">deemed, typically </w:t>
      </w:r>
      <w:r w:rsidR="003A59B2" w:rsidRPr="00CC7062">
        <w:rPr>
          <w:rFonts w:ascii="Arial" w:eastAsia="Arial" w:hAnsi="Arial" w:cs="Arial"/>
          <w:u w:val="single"/>
        </w:rPr>
        <w:t>after</w:t>
      </w:r>
      <w:r w:rsidR="003A59B2" w:rsidRPr="00CC7062">
        <w:rPr>
          <w:rFonts w:ascii="Arial" w:eastAsia="Arial" w:hAnsi="Arial" w:cs="Arial"/>
        </w:rPr>
        <w:t xml:space="preserve"> the public comment period,</w:t>
      </w:r>
      <w:r w:rsidRPr="00CC7062">
        <w:rPr>
          <w:rFonts w:ascii="Arial" w:eastAsia="Arial" w:hAnsi="Arial" w:cs="Arial"/>
        </w:rPr>
        <w:t xml:space="preserve"> </w:t>
      </w:r>
      <w:r w:rsidR="003A59B2" w:rsidRPr="00CC7062">
        <w:rPr>
          <w:rFonts w:ascii="Arial" w:eastAsia="Arial" w:hAnsi="Arial" w:cs="Arial"/>
        </w:rPr>
        <w:t xml:space="preserve">to be </w:t>
      </w:r>
      <w:r w:rsidRPr="00CC7062">
        <w:rPr>
          <w:rFonts w:ascii="Arial" w:eastAsia="Arial" w:hAnsi="Arial" w:cs="Arial"/>
        </w:rPr>
        <w:t>“translations” or “evocations”</w:t>
      </w:r>
      <w:r w:rsidR="003A59B2" w:rsidRPr="00CC7062">
        <w:rPr>
          <w:rFonts w:ascii="Arial" w:eastAsia="Arial" w:hAnsi="Arial" w:cs="Arial"/>
        </w:rPr>
        <w:t xml:space="preserve"> of a single or multi-term GI (e.g., </w:t>
      </w:r>
      <w:r w:rsidR="001D3AF2" w:rsidRPr="00CC7062">
        <w:rPr>
          <w:rFonts w:ascii="Arial" w:eastAsia="Arial" w:hAnsi="Arial" w:cs="Arial"/>
        </w:rPr>
        <w:t xml:space="preserve">“parmesan” in light of the GI “Parmigiano Reggiano”).  </w:t>
      </w:r>
    </w:p>
    <w:p w14:paraId="6274EDE9" w14:textId="33DAF988" w:rsidR="008812AC" w:rsidRPr="00CC7062" w:rsidRDefault="008812AC" w:rsidP="00B7238A">
      <w:pPr>
        <w:widowControl w:val="0"/>
        <w:tabs>
          <w:tab w:val="left" w:pos="810"/>
        </w:tabs>
        <w:autoSpaceDE w:val="0"/>
        <w:autoSpaceDN w:val="0"/>
        <w:ind w:right="450"/>
        <w:jc w:val="both"/>
        <w:rPr>
          <w:rFonts w:ascii="Arial" w:eastAsia="Arial" w:hAnsi="Arial" w:cs="Arial"/>
        </w:rPr>
      </w:pPr>
    </w:p>
    <w:p w14:paraId="2B0E3469" w14:textId="688448C6" w:rsidR="001D3AF2" w:rsidRPr="00CC7062" w:rsidRDefault="001D3AF2"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In addition, the EU government is increasingly seeking to restrict other commonly used marketing terms and techniques </w:t>
      </w:r>
      <w:r w:rsidR="002B204C" w:rsidRPr="00CC7062">
        <w:rPr>
          <w:rFonts w:ascii="Arial" w:eastAsia="Arial" w:hAnsi="Arial" w:cs="Arial"/>
        </w:rPr>
        <w:t xml:space="preserve">in its market and in trading partner markets </w:t>
      </w:r>
      <w:r w:rsidRPr="00CC7062">
        <w:rPr>
          <w:rFonts w:ascii="Arial" w:eastAsia="Arial" w:hAnsi="Arial" w:cs="Arial"/>
        </w:rPr>
        <w:t xml:space="preserve">by: </w:t>
      </w:r>
    </w:p>
    <w:p w14:paraId="3B0A91AD" w14:textId="0D1A31F5" w:rsidR="001D3AF2" w:rsidRPr="00CC7062" w:rsidRDefault="001D3AF2" w:rsidP="00B7238A">
      <w:pPr>
        <w:pStyle w:val="ListParagraph"/>
        <w:widowControl w:val="0"/>
        <w:numPr>
          <w:ilvl w:val="0"/>
          <w:numId w:val="31"/>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Restricting usage of words deemed to be “traditional terms” (e.g., clos, chateau, ruby, etc.) </w:t>
      </w:r>
    </w:p>
    <w:p w14:paraId="40FB450B" w14:textId="77777777" w:rsidR="001D3AF2" w:rsidRPr="00CC7062" w:rsidRDefault="001D3AF2" w:rsidP="00B7238A">
      <w:pPr>
        <w:pStyle w:val="ListParagraph"/>
        <w:widowControl w:val="0"/>
        <w:tabs>
          <w:tab w:val="left" w:pos="810"/>
        </w:tabs>
        <w:autoSpaceDE w:val="0"/>
        <w:autoSpaceDN w:val="0"/>
        <w:ind w:right="450"/>
        <w:jc w:val="both"/>
        <w:rPr>
          <w:rFonts w:ascii="Arial" w:eastAsia="Arial" w:hAnsi="Arial" w:cs="Arial"/>
        </w:rPr>
      </w:pPr>
    </w:p>
    <w:p w14:paraId="378F57A2" w14:textId="77777777" w:rsidR="001D3AF2" w:rsidRPr="00CC7062" w:rsidRDefault="001D3AF2" w:rsidP="00B7238A">
      <w:pPr>
        <w:pStyle w:val="ListParagraph"/>
        <w:widowControl w:val="0"/>
        <w:numPr>
          <w:ilvl w:val="0"/>
          <w:numId w:val="31"/>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Granting exclusive usage rights to for words deemed to be “traditional specialty guarantee” terms, </w:t>
      </w:r>
    </w:p>
    <w:p w14:paraId="1696C9A9" w14:textId="77777777" w:rsidR="001D3AF2" w:rsidRPr="00CC7062" w:rsidRDefault="001D3AF2" w:rsidP="00B7238A">
      <w:pPr>
        <w:pStyle w:val="ListParagraph"/>
        <w:widowControl w:val="0"/>
        <w:tabs>
          <w:tab w:val="left" w:pos="810"/>
        </w:tabs>
        <w:autoSpaceDE w:val="0"/>
        <w:autoSpaceDN w:val="0"/>
        <w:ind w:right="450"/>
        <w:jc w:val="both"/>
        <w:rPr>
          <w:rFonts w:ascii="Arial" w:eastAsia="Arial" w:hAnsi="Arial" w:cs="Arial"/>
        </w:rPr>
      </w:pPr>
    </w:p>
    <w:p w14:paraId="7D1CC370" w14:textId="029483F4" w:rsidR="001D3AF2" w:rsidRPr="00CC7062" w:rsidRDefault="001D3AF2" w:rsidP="00B7238A">
      <w:pPr>
        <w:pStyle w:val="ListParagraph"/>
        <w:widowControl w:val="0"/>
        <w:numPr>
          <w:ilvl w:val="0"/>
          <w:numId w:val="31"/>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Imposing restrictions on packaging shapes and images it unilaterally deems to be commonly used by a GI product (despite a lack of any apparent registration process for these elements), </w:t>
      </w:r>
    </w:p>
    <w:p w14:paraId="255773E9" w14:textId="77777777" w:rsidR="001D3AF2" w:rsidRPr="00CC7062" w:rsidRDefault="001D3AF2" w:rsidP="00B7238A">
      <w:pPr>
        <w:pStyle w:val="ListParagraph"/>
        <w:widowControl w:val="0"/>
        <w:tabs>
          <w:tab w:val="left" w:pos="810"/>
        </w:tabs>
        <w:autoSpaceDE w:val="0"/>
        <w:autoSpaceDN w:val="0"/>
        <w:ind w:right="450"/>
        <w:jc w:val="both"/>
        <w:rPr>
          <w:rFonts w:ascii="Arial" w:eastAsia="Arial" w:hAnsi="Arial" w:cs="Arial"/>
        </w:rPr>
      </w:pPr>
    </w:p>
    <w:p w14:paraId="750B0603" w14:textId="31C31DB5" w:rsidR="001D3AF2" w:rsidRPr="00CC7062" w:rsidRDefault="001D3AF2" w:rsidP="00B7238A">
      <w:pPr>
        <w:pStyle w:val="ListParagraph"/>
        <w:widowControl w:val="0"/>
        <w:numPr>
          <w:ilvl w:val="0"/>
          <w:numId w:val="31"/>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Considering extending its approach to GIs beyond food and beverage products to include non-agricultural products as well. </w:t>
      </w:r>
    </w:p>
    <w:p w14:paraId="79FAA1DE" w14:textId="77777777" w:rsidR="001D3AF2" w:rsidRPr="00CC7062" w:rsidRDefault="001D3AF2" w:rsidP="00B7238A">
      <w:pPr>
        <w:widowControl w:val="0"/>
        <w:tabs>
          <w:tab w:val="left" w:pos="810"/>
        </w:tabs>
        <w:autoSpaceDE w:val="0"/>
        <w:autoSpaceDN w:val="0"/>
        <w:ind w:right="450"/>
        <w:jc w:val="both"/>
        <w:rPr>
          <w:rFonts w:ascii="Arial" w:eastAsia="Arial" w:hAnsi="Arial" w:cs="Arial"/>
        </w:rPr>
      </w:pPr>
    </w:p>
    <w:p w14:paraId="6EA3936B" w14:textId="77777777" w:rsidR="002B204C" w:rsidRPr="00CC7062" w:rsidRDefault="000942F9"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Th</w:t>
      </w:r>
      <w:r w:rsidR="001D3AF2" w:rsidRPr="00CC7062">
        <w:rPr>
          <w:rFonts w:ascii="Arial" w:eastAsia="Arial" w:hAnsi="Arial" w:cs="Arial"/>
        </w:rPr>
        <w:t xml:space="preserve">e EU government’s </w:t>
      </w:r>
      <w:r w:rsidRPr="00CC7062">
        <w:rPr>
          <w:rFonts w:ascii="Arial" w:eastAsia="Arial" w:hAnsi="Arial" w:cs="Arial"/>
        </w:rPr>
        <w:t xml:space="preserve">anti-competitive </w:t>
      </w:r>
      <w:r w:rsidR="001D3AF2" w:rsidRPr="00CC7062">
        <w:rPr>
          <w:rFonts w:ascii="Arial" w:eastAsia="Arial" w:hAnsi="Arial" w:cs="Arial"/>
        </w:rPr>
        <w:t xml:space="preserve">and protectionist </w:t>
      </w:r>
      <w:r w:rsidRPr="00CC7062">
        <w:rPr>
          <w:rFonts w:ascii="Arial" w:eastAsia="Arial" w:hAnsi="Arial" w:cs="Arial"/>
        </w:rPr>
        <w:t>practice</w:t>
      </w:r>
      <w:r w:rsidR="001D3AF2" w:rsidRPr="00CC7062">
        <w:rPr>
          <w:rFonts w:ascii="Arial" w:eastAsia="Arial" w:hAnsi="Arial" w:cs="Arial"/>
        </w:rPr>
        <w:t>s</w:t>
      </w:r>
      <w:r w:rsidRPr="00CC7062">
        <w:rPr>
          <w:rFonts w:ascii="Arial" w:eastAsia="Arial" w:hAnsi="Arial" w:cs="Arial"/>
        </w:rPr>
        <w:t xml:space="preserve"> den</w:t>
      </w:r>
      <w:r w:rsidR="001D3AF2" w:rsidRPr="00CC7062">
        <w:rPr>
          <w:rFonts w:ascii="Arial" w:eastAsia="Arial" w:hAnsi="Arial" w:cs="Arial"/>
        </w:rPr>
        <w:t xml:space="preserve">y </w:t>
      </w:r>
      <w:r w:rsidRPr="00CC7062">
        <w:rPr>
          <w:rFonts w:ascii="Arial" w:eastAsia="Arial" w:hAnsi="Arial" w:cs="Arial"/>
        </w:rPr>
        <w:t xml:space="preserve">U.S. companies a level playing field by prohibiting them from marketing their products with accurate labels that can correctly convey to consumers the type of product they are purchasing. </w:t>
      </w:r>
      <w:r w:rsidR="001D3AF2" w:rsidRPr="00CC7062">
        <w:rPr>
          <w:rFonts w:ascii="Arial" w:eastAsia="Arial" w:hAnsi="Arial" w:cs="Arial"/>
        </w:rPr>
        <w:t xml:space="preserve">The impacts of this are not contained merely to the EU market but instead are </w:t>
      </w:r>
      <w:r w:rsidR="002B204C" w:rsidRPr="00CC7062">
        <w:rPr>
          <w:rFonts w:ascii="Arial" w:eastAsia="Arial" w:hAnsi="Arial" w:cs="Arial"/>
        </w:rPr>
        <w:t>expanding like policy tentacles around the world</w:t>
      </w:r>
      <w:r w:rsidR="001D3AF2" w:rsidRPr="00CC7062">
        <w:rPr>
          <w:rFonts w:ascii="Arial" w:eastAsia="Arial" w:hAnsi="Arial" w:cs="Arial"/>
        </w:rPr>
        <w:t xml:space="preserve"> </w:t>
      </w:r>
      <w:r w:rsidR="002B204C" w:rsidRPr="00CC7062">
        <w:rPr>
          <w:rFonts w:ascii="Arial" w:eastAsia="Arial" w:hAnsi="Arial" w:cs="Arial"/>
        </w:rPr>
        <w:t xml:space="preserve">to throttle competition from U.S. suppliers. </w:t>
      </w:r>
    </w:p>
    <w:p w14:paraId="7B7E1127" w14:textId="77777777" w:rsidR="008E36E8" w:rsidRPr="00CC7062" w:rsidRDefault="008E36E8" w:rsidP="00B7238A">
      <w:pPr>
        <w:widowControl w:val="0"/>
        <w:tabs>
          <w:tab w:val="left" w:pos="810"/>
        </w:tabs>
        <w:autoSpaceDE w:val="0"/>
        <w:autoSpaceDN w:val="0"/>
        <w:ind w:right="450"/>
        <w:jc w:val="both"/>
        <w:rPr>
          <w:rFonts w:ascii="Arial" w:eastAsia="Arial" w:hAnsi="Arial" w:cs="Arial"/>
        </w:rPr>
      </w:pPr>
    </w:p>
    <w:p w14:paraId="0B2B288D" w14:textId="77777777" w:rsidR="00110F5E" w:rsidRPr="00CC7062" w:rsidRDefault="00110F5E" w:rsidP="00B7238A">
      <w:pPr>
        <w:widowControl w:val="0"/>
        <w:tabs>
          <w:tab w:val="left" w:pos="810"/>
        </w:tabs>
        <w:autoSpaceDE w:val="0"/>
        <w:autoSpaceDN w:val="0"/>
        <w:ind w:right="450"/>
        <w:jc w:val="both"/>
        <w:rPr>
          <w:rFonts w:ascii="Arial" w:eastAsia="Arial" w:hAnsi="Arial" w:cs="Arial"/>
          <w:u w:val="single"/>
        </w:rPr>
      </w:pPr>
    </w:p>
    <w:p w14:paraId="64736713" w14:textId="77777777" w:rsidR="00675598" w:rsidRPr="00CC7062" w:rsidRDefault="00675598" w:rsidP="00B7238A">
      <w:pPr>
        <w:widowControl w:val="0"/>
        <w:tabs>
          <w:tab w:val="left" w:pos="810"/>
        </w:tabs>
        <w:autoSpaceDE w:val="0"/>
        <w:autoSpaceDN w:val="0"/>
        <w:ind w:right="450"/>
        <w:jc w:val="both"/>
        <w:rPr>
          <w:rFonts w:ascii="Arial" w:eastAsia="Arial" w:hAnsi="Arial" w:cs="Arial"/>
          <w:b/>
          <w:u w:val="single"/>
        </w:rPr>
      </w:pPr>
      <w:r w:rsidRPr="00CC7062">
        <w:rPr>
          <w:rFonts w:ascii="Arial" w:eastAsia="Arial" w:hAnsi="Arial" w:cs="Arial"/>
          <w:b/>
          <w:u w:val="single"/>
        </w:rPr>
        <w:t>Bilateral Issues</w:t>
      </w:r>
    </w:p>
    <w:p w14:paraId="3A462503" w14:textId="77777777" w:rsidR="00675598" w:rsidRPr="00CC7062" w:rsidRDefault="00675598" w:rsidP="00B7238A">
      <w:pPr>
        <w:widowControl w:val="0"/>
        <w:tabs>
          <w:tab w:val="left" w:pos="810"/>
        </w:tabs>
        <w:autoSpaceDE w:val="0"/>
        <w:autoSpaceDN w:val="0"/>
        <w:ind w:left="810" w:right="450"/>
        <w:jc w:val="both"/>
        <w:rPr>
          <w:rFonts w:ascii="Arial" w:eastAsia="Arial" w:hAnsi="Arial" w:cs="Arial"/>
          <w:b/>
        </w:rPr>
      </w:pPr>
    </w:p>
    <w:p w14:paraId="42E0437E" w14:textId="4B56DC6B" w:rsidR="00E8797D" w:rsidRPr="00CC7062" w:rsidRDefault="00675598"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spacing w:val="2"/>
        </w:rPr>
        <w:t xml:space="preserve">We </w:t>
      </w:r>
      <w:r w:rsidRPr="00CC7062">
        <w:rPr>
          <w:rFonts w:ascii="Arial" w:eastAsia="Arial" w:hAnsi="Arial" w:cs="Arial"/>
        </w:rPr>
        <w:t xml:space="preserve">provide below </w:t>
      </w:r>
      <w:proofErr w:type="gramStart"/>
      <w:r w:rsidRPr="00CC7062">
        <w:rPr>
          <w:rFonts w:ascii="Arial" w:eastAsia="Arial" w:hAnsi="Arial" w:cs="Arial"/>
        </w:rPr>
        <w:t>a number of</w:t>
      </w:r>
      <w:proofErr w:type="gramEnd"/>
      <w:r w:rsidRPr="00CC7062">
        <w:rPr>
          <w:rFonts w:ascii="Arial" w:eastAsia="Arial" w:hAnsi="Arial" w:cs="Arial"/>
        </w:rPr>
        <w:t xml:space="preserve"> examples of the way in which this global phenomenon is manifesting itself. </w:t>
      </w:r>
      <w:r w:rsidRPr="00CC7062">
        <w:rPr>
          <w:rFonts w:ascii="Arial" w:eastAsia="Arial" w:hAnsi="Arial" w:cs="Arial"/>
          <w:u w:val="single"/>
        </w:rPr>
        <w:t>This is an illustrative, not comprehensive list</w:t>
      </w:r>
      <w:r w:rsidRPr="00CC7062">
        <w:rPr>
          <w:rFonts w:ascii="Arial" w:eastAsia="Arial" w:hAnsi="Arial" w:cs="Arial"/>
        </w:rPr>
        <w:t xml:space="preserve">. </w:t>
      </w:r>
      <w:r w:rsidRPr="00CC7062">
        <w:rPr>
          <w:rFonts w:ascii="Arial" w:eastAsia="Arial" w:hAnsi="Arial" w:cs="Arial"/>
          <w:spacing w:val="3"/>
        </w:rPr>
        <w:t xml:space="preserve">We </w:t>
      </w:r>
      <w:r w:rsidRPr="00CC7062">
        <w:rPr>
          <w:rFonts w:ascii="Arial" w:eastAsia="Arial" w:hAnsi="Arial" w:cs="Arial"/>
        </w:rPr>
        <w:t>will continue to monitor</w:t>
      </w:r>
      <w:r w:rsidR="001B48F4" w:rsidRPr="00CC7062">
        <w:rPr>
          <w:rFonts w:ascii="Arial" w:eastAsia="Arial" w:hAnsi="Arial" w:cs="Arial"/>
        </w:rPr>
        <w:t xml:space="preserve"> </w:t>
      </w:r>
      <w:r w:rsidRPr="00CC7062">
        <w:rPr>
          <w:rFonts w:ascii="Arial" w:eastAsia="Arial" w:hAnsi="Arial" w:cs="Arial"/>
        </w:rPr>
        <w:t xml:space="preserve">the situation and provide information </w:t>
      </w:r>
      <w:r w:rsidR="004E6B37" w:rsidRPr="00CC7062">
        <w:rPr>
          <w:rFonts w:ascii="Arial" w:eastAsia="Arial" w:hAnsi="Arial" w:cs="Arial"/>
        </w:rPr>
        <w:t xml:space="preserve">to USTR </w:t>
      </w:r>
      <w:r w:rsidRPr="00CC7062">
        <w:rPr>
          <w:rFonts w:ascii="Arial" w:eastAsia="Arial" w:hAnsi="Arial" w:cs="Arial"/>
        </w:rPr>
        <w:t xml:space="preserve">as appropriate. </w:t>
      </w:r>
    </w:p>
    <w:p w14:paraId="5E52C365" w14:textId="281EE152" w:rsidR="00413C1A" w:rsidRPr="00CC7062" w:rsidRDefault="00413C1A" w:rsidP="00B7238A">
      <w:pPr>
        <w:widowControl w:val="0"/>
        <w:tabs>
          <w:tab w:val="left" w:pos="810"/>
        </w:tabs>
        <w:autoSpaceDE w:val="0"/>
        <w:autoSpaceDN w:val="0"/>
        <w:ind w:right="450"/>
        <w:jc w:val="both"/>
        <w:rPr>
          <w:rFonts w:ascii="Arial" w:eastAsia="Arial" w:hAnsi="Arial" w:cs="Arial"/>
        </w:rPr>
      </w:pPr>
    </w:p>
    <w:p w14:paraId="764073A0" w14:textId="4BFB4291" w:rsidR="00FF2FB1" w:rsidRPr="00CC7062" w:rsidRDefault="00FF2FB1"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Australia</w:t>
      </w:r>
    </w:p>
    <w:p w14:paraId="5947E446" w14:textId="77777777" w:rsidR="00380D75" w:rsidRPr="00CC7062" w:rsidRDefault="00FF2FB1" w:rsidP="00B7238A">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t xml:space="preserve">On June 2018 Australia and the EU launched negotiations for a free trade agreement. </w:t>
      </w:r>
      <w:r w:rsidR="00831A4A" w:rsidRPr="00CC7062">
        <w:rPr>
          <w:rFonts w:ascii="Arial" w:eastAsia="Arial" w:hAnsi="Arial" w:cs="Arial"/>
          <w:bCs/>
        </w:rPr>
        <w:t xml:space="preserve">The EU has made clear its goal of </w:t>
      </w:r>
      <w:r w:rsidRPr="00CC7062">
        <w:rPr>
          <w:rFonts w:ascii="Arial" w:eastAsia="Arial" w:hAnsi="Arial" w:cs="Arial"/>
          <w:bCs/>
        </w:rPr>
        <w:t>us</w:t>
      </w:r>
      <w:r w:rsidR="00831A4A" w:rsidRPr="00CC7062">
        <w:rPr>
          <w:rFonts w:ascii="Arial" w:eastAsia="Arial" w:hAnsi="Arial" w:cs="Arial"/>
          <w:bCs/>
        </w:rPr>
        <w:t xml:space="preserve">ing </w:t>
      </w:r>
      <w:r w:rsidRPr="00CC7062">
        <w:rPr>
          <w:rFonts w:ascii="Arial" w:eastAsia="Arial" w:hAnsi="Arial" w:cs="Arial"/>
          <w:bCs/>
        </w:rPr>
        <w:t xml:space="preserve">this process to </w:t>
      </w:r>
      <w:r w:rsidR="00831A4A" w:rsidRPr="00CC7062">
        <w:rPr>
          <w:rFonts w:ascii="Arial" w:eastAsia="Arial" w:hAnsi="Arial" w:cs="Arial"/>
          <w:bCs/>
        </w:rPr>
        <w:t>secure</w:t>
      </w:r>
      <w:r w:rsidRPr="00CC7062">
        <w:rPr>
          <w:rFonts w:ascii="Arial" w:eastAsia="Arial" w:hAnsi="Arial" w:cs="Arial"/>
          <w:bCs/>
        </w:rPr>
        <w:t xml:space="preserve"> the</w:t>
      </w:r>
      <w:r w:rsidR="00971F13" w:rsidRPr="00CC7062">
        <w:rPr>
          <w:rFonts w:ascii="Arial" w:eastAsia="Arial" w:hAnsi="Arial" w:cs="Arial"/>
          <w:bCs/>
        </w:rPr>
        <w:t xml:space="preserve"> GI</w:t>
      </w:r>
      <w:r w:rsidRPr="00CC7062">
        <w:rPr>
          <w:rFonts w:ascii="Arial" w:eastAsia="Arial" w:hAnsi="Arial" w:cs="Arial"/>
          <w:bCs/>
        </w:rPr>
        <w:t xml:space="preserve"> registration of common names</w:t>
      </w:r>
      <w:r w:rsidR="00831A4A" w:rsidRPr="00CC7062">
        <w:rPr>
          <w:rFonts w:ascii="Arial" w:eastAsia="Arial" w:hAnsi="Arial" w:cs="Arial"/>
          <w:bCs/>
        </w:rPr>
        <w:t>,</w:t>
      </w:r>
      <w:r w:rsidRPr="00CC7062">
        <w:rPr>
          <w:rFonts w:ascii="Arial" w:eastAsia="Arial" w:hAnsi="Arial" w:cs="Arial"/>
          <w:bCs/>
        </w:rPr>
        <w:t xml:space="preserve"> as it has done in other markets. </w:t>
      </w:r>
      <w:r w:rsidR="00831A4A" w:rsidRPr="00CC7062">
        <w:rPr>
          <w:rFonts w:ascii="Arial" w:eastAsia="Arial" w:hAnsi="Arial" w:cs="Arial"/>
          <w:bCs/>
        </w:rPr>
        <w:t>We welcome the transparency to date of the Australian government in soliciting public comment on draft FTA text related to this topic</w:t>
      </w:r>
      <w:r w:rsidR="003A0E62" w:rsidRPr="00CC7062">
        <w:rPr>
          <w:rFonts w:ascii="Arial" w:eastAsia="Arial" w:hAnsi="Arial" w:cs="Arial"/>
          <w:bCs/>
        </w:rPr>
        <w:t xml:space="preserve"> and urge the importance of rejecting any special process or rules specifically for EU GIs. </w:t>
      </w:r>
      <w:r w:rsidR="00380D75" w:rsidRPr="00CC7062">
        <w:rPr>
          <w:rFonts w:ascii="Arial" w:eastAsia="Arial" w:hAnsi="Arial" w:cs="Arial"/>
          <w:bCs/>
        </w:rPr>
        <w:t>In late</w:t>
      </w:r>
      <w:r w:rsidR="005D7091" w:rsidRPr="00CC7062">
        <w:rPr>
          <w:rFonts w:ascii="Arial" w:eastAsia="Arial" w:hAnsi="Arial" w:cs="Arial"/>
          <w:bCs/>
        </w:rPr>
        <w:t xml:space="preserve"> 2019 a list of </w:t>
      </w:r>
      <w:r w:rsidR="00EB4C10" w:rsidRPr="00CC7062">
        <w:rPr>
          <w:rFonts w:ascii="Arial" w:eastAsia="Arial" w:hAnsi="Arial" w:cs="Arial"/>
          <w:bCs/>
        </w:rPr>
        <w:t xml:space="preserve">172 </w:t>
      </w:r>
      <w:r w:rsidR="005D7091" w:rsidRPr="00CC7062">
        <w:rPr>
          <w:rFonts w:ascii="Arial" w:eastAsia="Arial" w:hAnsi="Arial" w:cs="Arial"/>
          <w:bCs/>
        </w:rPr>
        <w:t xml:space="preserve">EU GIs was published </w:t>
      </w:r>
      <w:r w:rsidR="00EB4C10" w:rsidRPr="00CC7062">
        <w:rPr>
          <w:rFonts w:ascii="Arial" w:eastAsia="Arial" w:hAnsi="Arial" w:cs="Arial"/>
          <w:bCs/>
        </w:rPr>
        <w:t xml:space="preserve">as part of the </w:t>
      </w:r>
      <w:r w:rsidR="00CA0A44" w:rsidRPr="00CC7062">
        <w:rPr>
          <w:rFonts w:ascii="Arial" w:eastAsia="Arial" w:hAnsi="Arial" w:cs="Arial"/>
          <w:bCs/>
        </w:rPr>
        <w:t xml:space="preserve">negotiating </w:t>
      </w:r>
      <w:r w:rsidR="00EB4C10" w:rsidRPr="00CC7062">
        <w:rPr>
          <w:rFonts w:ascii="Arial" w:eastAsia="Arial" w:hAnsi="Arial" w:cs="Arial"/>
          <w:bCs/>
        </w:rPr>
        <w:t xml:space="preserve">process. </w:t>
      </w:r>
      <w:r w:rsidR="00CA0A44" w:rsidRPr="00CC7062">
        <w:rPr>
          <w:rFonts w:ascii="Arial" w:eastAsia="Arial" w:hAnsi="Arial" w:cs="Arial"/>
          <w:bCs/>
        </w:rPr>
        <w:t>Commonly used product names including a</w:t>
      </w:r>
      <w:r w:rsidR="00A2068D" w:rsidRPr="00CC7062">
        <w:rPr>
          <w:rFonts w:ascii="Arial" w:eastAsia="Arial" w:hAnsi="Arial" w:cs="Arial"/>
          <w:bCs/>
        </w:rPr>
        <w:t xml:space="preserve">siago, </w:t>
      </w:r>
      <w:r w:rsidR="00CA0A44" w:rsidRPr="00CC7062">
        <w:rPr>
          <w:rFonts w:ascii="Arial" w:eastAsia="Arial" w:hAnsi="Arial" w:cs="Arial"/>
          <w:bCs/>
        </w:rPr>
        <w:t xml:space="preserve">black forest ham, bologna, </w:t>
      </w:r>
      <w:r w:rsidR="00A2068D" w:rsidRPr="00CC7062">
        <w:rPr>
          <w:rFonts w:ascii="Arial" w:eastAsia="Arial" w:hAnsi="Arial" w:cs="Arial"/>
          <w:bCs/>
        </w:rPr>
        <w:t xml:space="preserve">feta, fontina, gorgonzola, </w:t>
      </w:r>
      <w:r w:rsidR="00CA0A44" w:rsidRPr="00CC7062">
        <w:rPr>
          <w:rFonts w:ascii="Arial" w:eastAsia="Arial" w:hAnsi="Arial" w:cs="Arial"/>
          <w:bCs/>
        </w:rPr>
        <w:t xml:space="preserve">grana, </w:t>
      </w:r>
      <w:r w:rsidR="00A2068D" w:rsidRPr="00CC7062">
        <w:rPr>
          <w:rFonts w:ascii="Arial" w:eastAsia="Arial" w:hAnsi="Arial" w:cs="Arial"/>
          <w:bCs/>
        </w:rPr>
        <w:t xml:space="preserve">gruyere, munster, </w:t>
      </w:r>
      <w:r w:rsidR="00CA0A44" w:rsidRPr="00CC7062">
        <w:rPr>
          <w:rFonts w:ascii="Arial" w:eastAsia="Arial" w:hAnsi="Arial" w:cs="Arial"/>
          <w:bCs/>
        </w:rPr>
        <w:t>n</w:t>
      </w:r>
      <w:r w:rsidR="00A2068D" w:rsidRPr="00CC7062">
        <w:rPr>
          <w:rFonts w:ascii="Arial" w:eastAsia="Arial" w:hAnsi="Arial" w:cs="Arial"/>
          <w:bCs/>
        </w:rPr>
        <w:t>eufchatel</w:t>
      </w:r>
      <w:r w:rsidR="00CA0A44" w:rsidRPr="00CC7062">
        <w:rPr>
          <w:rFonts w:ascii="Arial" w:eastAsia="Arial" w:hAnsi="Arial" w:cs="Arial"/>
          <w:bCs/>
        </w:rPr>
        <w:t xml:space="preserve">, parmesan and romano appeared on it. </w:t>
      </w:r>
    </w:p>
    <w:p w14:paraId="32AF02D3" w14:textId="77777777" w:rsidR="00380D75" w:rsidRPr="00CC7062" w:rsidRDefault="00380D75" w:rsidP="00B7238A">
      <w:pPr>
        <w:widowControl w:val="0"/>
        <w:tabs>
          <w:tab w:val="left" w:pos="810"/>
        </w:tabs>
        <w:autoSpaceDE w:val="0"/>
        <w:autoSpaceDN w:val="0"/>
        <w:ind w:left="810" w:right="450"/>
        <w:jc w:val="both"/>
        <w:outlineLvl w:val="0"/>
        <w:rPr>
          <w:rFonts w:ascii="Arial" w:eastAsia="Arial" w:hAnsi="Arial" w:cs="Arial"/>
          <w:bCs/>
        </w:rPr>
      </w:pPr>
    </w:p>
    <w:p w14:paraId="21A0A59B" w14:textId="4DABBB42" w:rsidR="00FF2FB1" w:rsidRDefault="00380D75" w:rsidP="002356E4">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t xml:space="preserve">In addition to wide-spread usage of these terms in the Australian market, multiple terms on this list have already been considered by the Australian IP office and deemed to be generic and/or are included as generic components of registered trademarks in Australia. It is frankly astonishing that they are even under consideration given these </w:t>
      </w:r>
      <w:proofErr w:type="gramStart"/>
      <w:r w:rsidRPr="00CC7062">
        <w:rPr>
          <w:rFonts w:ascii="Arial" w:eastAsia="Arial" w:hAnsi="Arial" w:cs="Arial"/>
          <w:bCs/>
        </w:rPr>
        <w:t>facts</w:t>
      </w:r>
      <w:proofErr w:type="gramEnd"/>
      <w:r w:rsidRPr="00CC7062">
        <w:rPr>
          <w:rFonts w:ascii="Arial" w:eastAsia="Arial" w:hAnsi="Arial" w:cs="Arial"/>
          <w:bCs/>
        </w:rPr>
        <w:t xml:space="preserve"> yet the political dynamics of the EU-Australian government FTA negotiations put them at risk of monopolization. The Australian government has to date refused to provide assurance that these and other generic terms will remain freely available for use in Australia, instead stating in public interviews regarding that the negotiations that the final decisions on all the GIs will be made in consideration of the EU’s market access offer. There can hardly be more convincing evidence that Australia is not committed to following an objective, evidence-driven process than this.  </w:t>
      </w:r>
    </w:p>
    <w:p w14:paraId="503BA433" w14:textId="77777777" w:rsidR="002356E4" w:rsidRPr="002356E4" w:rsidRDefault="002356E4" w:rsidP="002356E4">
      <w:pPr>
        <w:widowControl w:val="0"/>
        <w:tabs>
          <w:tab w:val="left" w:pos="810"/>
        </w:tabs>
        <w:autoSpaceDE w:val="0"/>
        <w:autoSpaceDN w:val="0"/>
        <w:ind w:left="810" w:right="450"/>
        <w:jc w:val="both"/>
        <w:outlineLvl w:val="0"/>
        <w:rPr>
          <w:rFonts w:ascii="Arial" w:eastAsia="Arial" w:hAnsi="Arial" w:cs="Arial"/>
          <w:bCs/>
        </w:rPr>
      </w:pPr>
    </w:p>
    <w:p w14:paraId="36F95ECB" w14:textId="77777777" w:rsidR="002356E4" w:rsidRPr="00CC7062" w:rsidRDefault="002356E4" w:rsidP="00B7238A">
      <w:pPr>
        <w:widowControl w:val="0"/>
        <w:tabs>
          <w:tab w:val="left" w:pos="810"/>
        </w:tabs>
        <w:autoSpaceDE w:val="0"/>
        <w:autoSpaceDN w:val="0"/>
        <w:ind w:left="810" w:right="450"/>
        <w:jc w:val="both"/>
        <w:outlineLvl w:val="0"/>
        <w:rPr>
          <w:rFonts w:ascii="Arial" w:eastAsia="Arial" w:hAnsi="Arial" w:cs="Arial"/>
          <w:b/>
          <w:bCs/>
        </w:rPr>
      </w:pPr>
    </w:p>
    <w:p w14:paraId="176D4C9F" w14:textId="623F3470" w:rsidR="00CA0A44" w:rsidRPr="00CC7062" w:rsidRDefault="00CA0A44" w:rsidP="00B7238A">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lastRenderedPageBreak/>
        <w:t xml:space="preserve">Australia has a well-designed and highly functioning IP system in place already that is more than capable of providing reasonable protection to legitimate GIs; there exists no basis for bypassing this system. Particularly </w:t>
      </w:r>
      <w:proofErr w:type="gramStart"/>
      <w:r w:rsidRPr="00CC7062">
        <w:rPr>
          <w:rFonts w:ascii="Arial" w:eastAsia="Arial" w:hAnsi="Arial" w:cs="Arial"/>
          <w:bCs/>
        </w:rPr>
        <w:t>in light of</w:t>
      </w:r>
      <w:proofErr w:type="gramEnd"/>
      <w:r w:rsidRPr="00CC7062">
        <w:rPr>
          <w:rFonts w:ascii="Arial" w:eastAsia="Arial" w:hAnsi="Arial" w:cs="Arial"/>
          <w:bCs/>
        </w:rPr>
        <w:t xml:space="preserve"> the U.S.-Australia FTA and the market access to U.S. products granted under that agreement, we urge the Administration to preserve the value of the bargain struck in its own trade treaty with Australia by insisting that Australia ensure that the common names cited in industry opposition submissions remain free to use for both the Australian industry and its international partners, including the U.S. </w:t>
      </w:r>
    </w:p>
    <w:p w14:paraId="20817BD1" w14:textId="762C2AA7" w:rsidR="00CA0A44" w:rsidRPr="00CC7062" w:rsidRDefault="00CA0A44" w:rsidP="00B7238A">
      <w:pPr>
        <w:widowControl w:val="0"/>
        <w:tabs>
          <w:tab w:val="left" w:pos="810"/>
        </w:tabs>
        <w:autoSpaceDE w:val="0"/>
        <w:autoSpaceDN w:val="0"/>
        <w:ind w:left="810" w:right="450"/>
        <w:jc w:val="both"/>
        <w:outlineLvl w:val="0"/>
        <w:rPr>
          <w:rFonts w:ascii="Arial" w:eastAsia="Arial" w:hAnsi="Arial" w:cs="Arial"/>
          <w:b/>
          <w:bCs/>
        </w:rPr>
      </w:pPr>
    </w:p>
    <w:p w14:paraId="0A2C9D5D" w14:textId="77777777" w:rsidR="003A0E62" w:rsidRPr="00CC7062" w:rsidRDefault="003A0E62" w:rsidP="00B7238A">
      <w:pPr>
        <w:widowControl w:val="0"/>
        <w:tabs>
          <w:tab w:val="left" w:pos="810"/>
        </w:tabs>
        <w:autoSpaceDE w:val="0"/>
        <w:autoSpaceDN w:val="0"/>
        <w:ind w:left="810" w:right="450"/>
        <w:jc w:val="both"/>
        <w:outlineLvl w:val="0"/>
        <w:rPr>
          <w:rFonts w:ascii="Arial" w:eastAsia="Arial" w:hAnsi="Arial" w:cs="Arial"/>
          <w:b/>
          <w:bCs/>
        </w:rPr>
      </w:pPr>
    </w:p>
    <w:p w14:paraId="33851F02" w14:textId="7E55CD70" w:rsidR="001305BC"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Canada</w:t>
      </w:r>
    </w:p>
    <w:p w14:paraId="784D75A0" w14:textId="5B2884E7" w:rsidR="00184406" w:rsidRPr="00CC7062" w:rsidRDefault="00CA0A44"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The U</w:t>
      </w:r>
      <w:r w:rsidR="00184406" w:rsidRPr="00CC7062">
        <w:rPr>
          <w:rFonts w:ascii="Arial" w:eastAsia="Arial" w:hAnsi="Arial" w:cs="Arial"/>
        </w:rPr>
        <w:t xml:space="preserve">.S.-Mexico-Canada Agreement (USMCA) </w:t>
      </w:r>
      <w:r w:rsidR="00267F81" w:rsidRPr="00CC7062">
        <w:rPr>
          <w:rFonts w:ascii="Arial" w:eastAsia="Arial" w:hAnsi="Arial" w:cs="Arial"/>
        </w:rPr>
        <w:t xml:space="preserve">implemented last year </w:t>
      </w:r>
      <w:r w:rsidR="00184406" w:rsidRPr="00CC7062">
        <w:rPr>
          <w:rFonts w:ascii="Arial" w:eastAsia="Arial" w:hAnsi="Arial" w:cs="Arial"/>
        </w:rPr>
        <w:t xml:space="preserve">includes several notable precedents that we urge the Administration to ensure are fully utilized in the North American trade context and </w:t>
      </w:r>
      <w:r w:rsidRPr="00CC7062">
        <w:rPr>
          <w:rFonts w:ascii="Arial" w:eastAsia="Arial" w:hAnsi="Arial" w:cs="Arial"/>
        </w:rPr>
        <w:t xml:space="preserve">to work to </w:t>
      </w:r>
      <w:r w:rsidR="00184406" w:rsidRPr="00CC7062">
        <w:rPr>
          <w:rFonts w:ascii="Arial" w:eastAsia="Arial" w:hAnsi="Arial" w:cs="Arial"/>
        </w:rPr>
        <w:t>build upon with additional trading partners moving forward. The key concepts that were included will benefit consumers and producers in the region</w:t>
      </w:r>
      <w:r w:rsidRPr="00CC7062">
        <w:rPr>
          <w:rFonts w:ascii="Arial" w:eastAsia="Arial" w:hAnsi="Arial" w:cs="Arial"/>
        </w:rPr>
        <w:t xml:space="preserve"> when implemented this year</w:t>
      </w:r>
      <w:r w:rsidR="00184406" w:rsidRPr="00CC7062">
        <w:rPr>
          <w:rFonts w:ascii="Arial" w:eastAsia="Arial" w:hAnsi="Arial" w:cs="Arial"/>
        </w:rPr>
        <w:t>. Some of these key elements relevant to Canada include:</w:t>
      </w:r>
    </w:p>
    <w:p w14:paraId="04EE24AC" w14:textId="77777777" w:rsidR="00CA0A44" w:rsidRPr="00CC7062" w:rsidRDefault="00CA0A44" w:rsidP="00B7238A">
      <w:pPr>
        <w:widowControl w:val="0"/>
        <w:tabs>
          <w:tab w:val="left" w:pos="810"/>
        </w:tabs>
        <w:autoSpaceDE w:val="0"/>
        <w:autoSpaceDN w:val="0"/>
        <w:ind w:left="810" w:right="450"/>
        <w:jc w:val="both"/>
        <w:rPr>
          <w:rFonts w:ascii="Arial" w:eastAsia="Arial" w:hAnsi="Arial" w:cs="Arial"/>
        </w:rPr>
      </w:pPr>
    </w:p>
    <w:p w14:paraId="4EA66765" w14:textId="77777777" w:rsidR="00184406" w:rsidRPr="00CC7062" w:rsidRDefault="00184406" w:rsidP="00B7238A">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Important due process procedures governing GI applications to create transparency and help provide tools to preserve the use of common food names throughout the course of GI consideration </w:t>
      </w:r>
      <w:proofErr w:type="gramStart"/>
      <w:r w:rsidRPr="00CC7062">
        <w:rPr>
          <w:rFonts w:ascii="Arial" w:eastAsia="Arial" w:hAnsi="Arial" w:cs="Arial"/>
        </w:rPr>
        <w:t>procedures;</w:t>
      </w:r>
      <w:proofErr w:type="gramEnd"/>
    </w:p>
    <w:p w14:paraId="60D979A9" w14:textId="77777777" w:rsidR="00184406" w:rsidRPr="00CC7062" w:rsidRDefault="00184406" w:rsidP="00B7238A">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Mandated government to government discussions to “pursue solutions to GI requests arising from trade treaties…[to] endeavor to reach mutually agreeable solutions before taking measures in connection with future requests of recognition or protection of a geographical indication from any other country through a trade agreement</w:t>
      </w:r>
      <w:proofErr w:type="gramStart"/>
      <w:r w:rsidRPr="00CC7062">
        <w:rPr>
          <w:rFonts w:ascii="Arial" w:eastAsia="Arial" w:hAnsi="Arial" w:cs="Arial"/>
        </w:rPr>
        <w:t>”;</w:t>
      </w:r>
      <w:proofErr w:type="gramEnd"/>
      <w:r w:rsidRPr="00CC7062">
        <w:rPr>
          <w:rFonts w:ascii="Arial" w:eastAsia="Arial" w:hAnsi="Arial" w:cs="Arial"/>
        </w:rPr>
        <w:t xml:space="preserve"> </w:t>
      </w:r>
    </w:p>
    <w:p w14:paraId="5F23B7C2" w14:textId="77777777" w:rsidR="00184406" w:rsidRPr="00CC7062" w:rsidRDefault="00184406" w:rsidP="00B7238A">
      <w:pPr>
        <w:widowControl w:val="0"/>
        <w:tabs>
          <w:tab w:val="left" w:pos="810"/>
        </w:tabs>
        <w:autoSpaceDE w:val="0"/>
        <w:autoSpaceDN w:val="0"/>
        <w:ind w:left="810" w:right="450"/>
        <w:jc w:val="both"/>
        <w:rPr>
          <w:rFonts w:ascii="Arial" w:eastAsia="Arial" w:hAnsi="Arial" w:cs="Arial"/>
        </w:rPr>
      </w:pPr>
    </w:p>
    <w:p w14:paraId="630228A0" w14:textId="77777777" w:rsidR="0053623C" w:rsidRPr="00CC7062" w:rsidRDefault="00CA0A44"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As noted in our prior submissions, Canada has a history of taking actions not in keeping with these new USMCA</w:t>
      </w:r>
      <w:r w:rsidR="00184406" w:rsidRPr="00CC7062">
        <w:rPr>
          <w:rFonts w:ascii="Arial" w:eastAsia="Arial" w:hAnsi="Arial" w:cs="Arial"/>
        </w:rPr>
        <w:t xml:space="preserve"> commitments</w:t>
      </w:r>
      <w:r w:rsidRPr="00CC7062">
        <w:rPr>
          <w:rFonts w:ascii="Arial" w:eastAsia="Arial" w:hAnsi="Arial" w:cs="Arial"/>
        </w:rPr>
        <w:t xml:space="preserve">, </w:t>
      </w:r>
      <w:r w:rsidR="00184406" w:rsidRPr="00CC7062">
        <w:rPr>
          <w:rFonts w:ascii="Arial" w:eastAsia="Arial" w:hAnsi="Arial" w:cs="Arial"/>
        </w:rPr>
        <w:t xml:space="preserve">namely </w:t>
      </w:r>
      <w:r w:rsidRPr="00CC7062">
        <w:rPr>
          <w:rFonts w:ascii="Arial" w:eastAsia="Arial" w:hAnsi="Arial" w:cs="Arial"/>
        </w:rPr>
        <w:t xml:space="preserve">in its approach to GIs during the course of </w:t>
      </w:r>
      <w:r w:rsidR="00184406" w:rsidRPr="00CC7062">
        <w:rPr>
          <w:rFonts w:ascii="Arial" w:eastAsia="Arial" w:hAnsi="Arial" w:cs="Arial"/>
        </w:rPr>
        <w:t xml:space="preserve">the </w:t>
      </w:r>
      <w:r w:rsidR="001305BC" w:rsidRPr="00CC7062">
        <w:rPr>
          <w:rFonts w:ascii="Arial" w:eastAsia="Arial" w:hAnsi="Arial" w:cs="Arial"/>
        </w:rPr>
        <w:t>Comprehensive Economic and Trade Agreement (CETA</w:t>
      </w:r>
      <w:r w:rsidRPr="00CC7062">
        <w:rPr>
          <w:rFonts w:ascii="Arial" w:eastAsia="Arial" w:hAnsi="Arial" w:cs="Arial"/>
        </w:rPr>
        <w:t xml:space="preserve">) negotiations where Canada flouted its </w:t>
      </w:r>
      <w:r w:rsidR="004E6B37" w:rsidRPr="00CC7062">
        <w:rPr>
          <w:rFonts w:ascii="Arial" w:eastAsia="Arial" w:hAnsi="Arial" w:cs="Arial"/>
        </w:rPr>
        <w:t>TRIPS obligations by bypassing standard evaluation of intellectual property rights for EU GI holders and failing to provide for any opposition process before granting uniquely beneficial IP rights to EU interest groups</w:t>
      </w:r>
      <w:r w:rsidRPr="00CC7062">
        <w:rPr>
          <w:rFonts w:ascii="Arial" w:eastAsia="Arial" w:hAnsi="Arial" w:cs="Arial"/>
        </w:rPr>
        <w:t xml:space="preserve"> – including for several terms long used generically in Canada</w:t>
      </w:r>
      <w:r w:rsidR="004E6B37" w:rsidRPr="00CC7062">
        <w:rPr>
          <w:rFonts w:ascii="Arial" w:eastAsia="Arial" w:hAnsi="Arial" w:cs="Arial"/>
        </w:rPr>
        <w:t>.</w:t>
      </w:r>
      <w:r w:rsidR="001B48F4" w:rsidRPr="00CC7062">
        <w:rPr>
          <w:rFonts w:ascii="Arial" w:eastAsia="Arial" w:hAnsi="Arial" w:cs="Arial"/>
        </w:rPr>
        <w:t xml:space="preserve"> </w:t>
      </w:r>
    </w:p>
    <w:p w14:paraId="1CE6EFD8" w14:textId="77777777" w:rsidR="0053623C" w:rsidRPr="00CC7062" w:rsidRDefault="0053623C" w:rsidP="00B7238A">
      <w:pPr>
        <w:widowControl w:val="0"/>
        <w:tabs>
          <w:tab w:val="left" w:pos="810"/>
        </w:tabs>
        <w:autoSpaceDE w:val="0"/>
        <w:autoSpaceDN w:val="0"/>
        <w:ind w:left="810" w:right="450"/>
        <w:jc w:val="both"/>
        <w:rPr>
          <w:rFonts w:ascii="Arial" w:eastAsia="Arial" w:hAnsi="Arial" w:cs="Arial"/>
        </w:rPr>
      </w:pPr>
    </w:p>
    <w:p w14:paraId="550EF6B0" w14:textId="64DD67E0" w:rsidR="004850A9" w:rsidRPr="00CC7062" w:rsidRDefault="00CA0A44"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We trust that the new disciplines in USMCA will help to effectively guard against replication of this deeply unfortunate action in the future. This remains relevant given continued </w:t>
      </w:r>
      <w:r w:rsidR="0053623C" w:rsidRPr="00CC7062">
        <w:rPr>
          <w:rFonts w:ascii="Arial" w:eastAsia="Arial" w:hAnsi="Arial" w:cs="Arial"/>
        </w:rPr>
        <w:t>pressure within the EU to further tighten the restrictions on the generic terms currently subject to “-style”/”-kind”/”-type” mandates and grandfathering provisions in the Canadian market. In addition, some EU GI stakeholders have sought in recent years to exploit</w:t>
      </w:r>
      <w:r w:rsidR="001B48F4" w:rsidRPr="00CC7062">
        <w:rPr>
          <w:rFonts w:ascii="Arial" w:eastAsia="Arial" w:hAnsi="Arial" w:cs="Arial"/>
        </w:rPr>
        <w:t xml:space="preserve"> Canada’s trademark system to subvert the grandfathering </w:t>
      </w:r>
      <w:r w:rsidR="0053623C" w:rsidRPr="00CC7062">
        <w:rPr>
          <w:rFonts w:ascii="Arial" w:eastAsia="Arial" w:hAnsi="Arial" w:cs="Arial"/>
        </w:rPr>
        <w:t xml:space="preserve">and “-style” allowance </w:t>
      </w:r>
      <w:r w:rsidR="001B48F4" w:rsidRPr="00CC7062">
        <w:rPr>
          <w:rFonts w:ascii="Arial" w:eastAsia="Arial" w:hAnsi="Arial" w:cs="Arial"/>
        </w:rPr>
        <w:t xml:space="preserve">provisions of CETA. </w:t>
      </w:r>
    </w:p>
    <w:p w14:paraId="2CF7D408" w14:textId="77777777" w:rsidR="004850A9" w:rsidRPr="00CC7062" w:rsidRDefault="004850A9" w:rsidP="00B7238A">
      <w:pPr>
        <w:widowControl w:val="0"/>
        <w:tabs>
          <w:tab w:val="left" w:pos="810"/>
        </w:tabs>
        <w:autoSpaceDE w:val="0"/>
        <w:autoSpaceDN w:val="0"/>
        <w:ind w:left="810" w:right="450"/>
        <w:jc w:val="both"/>
        <w:rPr>
          <w:rFonts w:ascii="Arial" w:eastAsia="Arial" w:hAnsi="Arial" w:cs="Arial"/>
        </w:rPr>
      </w:pPr>
    </w:p>
    <w:p w14:paraId="7DEF1916" w14:textId="527FB16C" w:rsidR="004E6B37" w:rsidRPr="00CC7062" w:rsidRDefault="001B48F4"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While we firmly disagree with the Canadian government’s decision to impose limits on the use of terms in generic usage in Canada, the CETA terms clearly allow the use of the specified terms by grandfathered users and Canada’s trademark system must not be allowed to be used as a tool to circumvent those residual protections. Canada’s trademark office should consistently reject any applications that would impose restrictions on the use of terms expressly permitted under CETA. </w:t>
      </w:r>
      <w:r w:rsidR="0053623C" w:rsidRPr="00CC7062">
        <w:rPr>
          <w:rFonts w:ascii="Arial" w:eastAsia="Arial" w:hAnsi="Arial" w:cs="Arial"/>
        </w:rPr>
        <w:t xml:space="preserve">Any action to the contrary would undermine the value of </w:t>
      </w:r>
      <w:r w:rsidR="00267F81" w:rsidRPr="00CC7062">
        <w:rPr>
          <w:rFonts w:ascii="Arial" w:eastAsia="Arial" w:hAnsi="Arial" w:cs="Arial"/>
        </w:rPr>
        <w:t>USMCA</w:t>
      </w:r>
      <w:r w:rsidR="0053623C" w:rsidRPr="00CC7062">
        <w:rPr>
          <w:rFonts w:ascii="Arial" w:eastAsia="Arial" w:hAnsi="Arial" w:cs="Arial"/>
        </w:rPr>
        <w:t xml:space="preserve"> market access </w:t>
      </w:r>
      <w:r w:rsidR="00267F81" w:rsidRPr="00CC7062">
        <w:rPr>
          <w:rFonts w:ascii="Arial" w:eastAsia="Arial" w:hAnsi="Arial" w:cs="Arial"/>
        </w:rPr>
        <w:t>concessions</w:t>
      </w:r>
      <w:r w:rsidR="0053623C" w:rsidRPr="00CC7062">
        <w:rPr>
          <w:rFonts w:ascii="Arial" w:eastAsia="Arial" w:hAnsi="Arial" w:cs="Arial"/>
        </w:rPr>
        <w:t xml:space="preserve">. </w:t>
      </w:r>
    </w:p>
    <w:p w14:paraId="75B8AC2B" w14:textId="3BB873C0" w:rsidR="00110F5E" w:rsidRPr="00CC7062" w:rsidRDefault="00110F5E" w:rsidP="00B7238A">
      <w:pPr>
        <w:widowControl w:val="0"/>
        <w:tabs>
          <w:tab w:val="left" w:pos="810"/>
        </w:tabs>
        <w:autoSpaceDE w:val="0"/>
        <w:autoSpaceDN w:val="0"/>
        <w:ind w:left="810" w:right="450"/>
        <w:jc w:val="both"/>
        <w:rPr>
          <w:rFonts w:ascii="Arial" w:eastAsia="Arial" w:hAnsi="Arial" w:cs="Arial"/>
        </w:rPr>
      </w:pPr>
    </w:p>
    <w:p w14:paraId="7342ADCD" w14:textId="77777777" w:rsidR="004850A9" w:rsidRPr="00CC7062" w:rsidRDefault="004850A9" w:rsidP="00B7238A">
      <w:pPr>
        <w:widowControl w:val="0"/>
        <w:tabs>
          <w:tab w:val="left" w:pos="810"/>
        </w:tabs>
        <w:autoSpaceDE w:val="0"/>
        <w:autoSpaceDN w:val="0"/>
        <w:ind w:right="450"/>
        <w:jc w:val="both"/>
        <w:rPr>
          <w:rFonts w:ascii="Arial" w:eastAsia="Arial" w:hAnsi="Arial" w:cs="Arial"/>
        </w:rPr>
      </w:pPr>
    </w:p>
    <w:p w14:paraId="4C63B34D" w14:textId="77777777" w:rsidR="00D57F6E" w:rsidRPr="00CC7062" w:rsidRDefault="00675598" w:rsidP="00B7238A">
      <w:pPr>
        <w:widowControl w:val="0"/>
        <w:tabs>
          <w:tab w:val="left" w:pos="810"/>
        </w:tabs>
        <w:autoSpaceDE w:val="0"/>
        <w:autoSpaceDN w:val="0"/>
        <w:ind w:left="810" w:right="450"/>
        <w:jc w:val="both"/>
        <w:rPr>
          <w:rFonts w:ascii="Arial" w:eastAsia="Arial" w:hAnsi="Arial" w:cs="Arial"/>
          <w:b/>
          <w:lang w:val="es-VE"/>
        </w:rPr>
      </w:pPr>
      <w:r w:rsidRPr="00CC7062">
        <w:rPr>
          <w:rFonts w:ascii="Arial" w:eastAsia="Arial" w:hAnsi="Arial" w:cs="Arial"/>
          <w:b/>
          <w:lang w:val="es-VE"/>
        </w:rPr>
        <w:t xml:space="preserve">Central America (Costa Rica, El Salvador, Guatemala, Honduras, Nicaragua &amp; Panama) </w:t>
      </w:r>
    </w:p>
    <w:p w14:paraId="18E68AD1" w14:textId="77777777" w:rsidR="001F2890" w:rsidRPr="00CC7062" w:rsidRDefault="001F2890" w:rsidP="00B7238A">
      <w:pPr>
        <w:widowControl w:val="0"/>
        <w:tabs>
          <w:tab w:val="left" w:pos="810"/>
        </w:tabs>
        <w:autoSpaceDE w:val="0"/>
        <w:autoSpaceDN w:val="0"/>
        <w:ind w:left="810" w:right="450"/>
        <w:jc w:val="both"/>
        <w:rPr>
          <w:rFonts w:ascii="Arial" w:eastAsia="Arial" w:hAnsi="Arial" w:cs="Arial"/>
        </w:rPr>
      </w:pPr>
    </w:p>
    <w:p w14:paraId="18B3DF8B" w14:textId="77777777" w:rsidR="00267F81"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The consequences in this region </w:t>
      </w:r>
      <w:r w:rsidR="001F2890" w:rsidRPr="00CC7062">
        <w:rPr>
          <w:rFonts w:ascii="Arial" w:eastAsia="Arial" w:hAnsi="Arial" w:cs="Arial"/>
        </w:rPr>
        <w:t>resulting from</w:t>
      </w:r>
      <w:r w:rsidRPr="00CC7062">
        <w:rPr>
          <w:rFonts w:ascii="Arial" w:eastAsia="Arial" w:hAnsi="Arial" w:cs="Arial"/>
        </w:rPr>
        <w:t xml:space="preserve"> the implementation of FTAs with the EU have been variable. </w:t>
      </w:r>
    </w:p>
    <w:p w14:paraId="046F2B4D" w14:textId="77777777" w:rsidR="00267F81" w:rsidRPr="00CC7062" w:rsidRDefault="00267F81" w:rsidP="00B7238A">
      <w:pPr>
        <w:widowControl w:val="0"/>
        <w:tabs>
          <w:tab w:val="left" w:pos="810"/>
        </w:tabs>
        <w:autoSpaceDE w:val="0"/>
        <w:autoSpaceDN w:val="0"/>
        <w:ind w:left="810" w:right="450"/>
        <w:jc w:val="both"/>
        <w:rPr>
          <w:rFonts w:ascii="Arial" w:eastAsia="Arial" w:hAnsi="Arial" w:cs="Arial"/>
        </w:rPr>
      </w:pPr>
    </w:p>
    <w:p w14:paraId="77A01BD8" w14:textId="5847B0A6" w:rsidR="00267F81"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some </w:t>
      </w:r>
      <w:r w:rsidR="00D57F6E" w:rsidRPr="00CC7062">
        <w:rPr>
          <w:rFonts w:ascii="Arial" w:eastAsia="Arial" w:hAnsi="Arial" w:cs="Arial"/>
        </w:rPr>
        <w:t>countries,</w:t>
      </w:r>
      <w:r w:rsidR="00B12E0B" w:rsidRPr="00CC7062">
        <w:rPr>
          <w:rFonts w:ascii="Arial" w:eastAsia="Arial" w:hAnsi="Arial" w:cs="Arial"/>
        </w:rPr>
        <w:t xml:space="preserve"> such as El Salvador, </w:t>
      </w:r>
      <w:r w:rsidRPr="00CC7062">
        <w:rPr>
          <w:rFonts w:ascii="Arial" w:eastAsia="Arial" w:hAnsi="Arial" w:cs="Arial"/>
        </w:rPr>
        <w:t>Guatemala</w:t>
      </w:r>
      <w:r w:rsidR="00B12E0B" w:rsidRPr="00CC7062">
        <w:rPr>
          <w:rFonts w:ascii="Arial" w:eastAsia="Arial" w:hAnsi="Arial" w:cs="Arial"/>
        </w:rPr>
        <w:t xml:space="preserve"> and Honduras</w:t>
      </w:r>
      <w:r w:rsidRPr="00CC7062">
        <w:rPr>
          <w:rFonts w:ascii="Arial" w:eastAsia="Arial" w:hAnsi="Arial" w:cs="Arial"/>
        </w:rPr>
        <w:t>, government officials have restricted the use of various single-term names of concern to the U.S. but at least have been willing to provide important clarifications regarding the treatment of common names that are components of certain multi-term GIs of particular interest to U.S. co</w:t>
      </w:r>
      <w:r w:rsidR="003312D6" w:rsidRPr="00CC7062">
        <w:rPr>
          <w:rFonts w:ascii="Arial" w:eastAsia="Arial" w:hAnsi="Arial" w:cs="Arial"/>
        </w:rPr>
        <w:t xml:space="preserve">mpanies. </w:t>
      </w:r>
      <w:r w:rsidR="00267F81" w:rsidRPr="00CC7062">
        <w:rPr>
          <w:rFonts w:ascii="Arial" w:eastAsia="Arial" w:hAnsi="Arial" w:cs="Arial"/>
        </w:rPr>
        <w:t xml:space="preserve">These steps have helped to preserve a significant portion of the value of market access commitments contained in the U.S.-CAFTA. </w:t>
      </w:r>
    </w:p>
    <w:p w14:paraId="5150C2F2" w14:textId="77777777" w:rsidR="00267F81" w:rsidRPr="00CC7062" w:rsidRDefault="00267F81" w:rsidP="00B7238A">
      <w:pPr>
        <w:widowControl w:val="0"/>
        <w:tabs>
          <w:tab w:val="left" w:pos="810"/>
        </w:tabs>
        <w:autoSpaceDE w:val="0"/>
        <w:autoSpaceDN w:val="0"/>
        <w:ind w:left="810" w:right="450"/>
        <w:jc w:val="both"/>
        <w:rPr>
          <w:rFonts w:ascii="Arial" w:eastAsia="Arial" w:hAnsi="Arial" w:cs="Arial"/>
        </w:rPr>
      </w:pPr>
    </w:p>
    <w:p w14:paraId="3DC561DA" w14:textId="2253944F" w:rsidR="00267F81" w:rsidRPr="00CC7062" w:rsidRDefault="00267F81" w:rsidP="00B7238A">
      <w:pPr>
        <w:pStyle w:val="ListParagraph"/>
        <w:widowControl w:val="0"/>
        <w:numPr>
          <w:ilvl w:val="0"/>
          <w:numId w:val="32"/>
        </w:numPr>
        <w:tabs>
          <w:tab w:val="left" w:pos="810"/>
        </w:tabs>
        <w:autoSpaceDE w:val="0"/>
        <w:autoSpaceDN w:val="0"/>
        <w:ind w:right="450"/>
        <w:jc w:val="both"/>
        <w:rPr>
          <w:rFonts w:ascii="Arial" w:eastAsia="Arial" w:hAnsi="Arial" w:cs="Arial"/>
        </w:rPr>
      </w:pPr>
      <w:proofErr w:type="gramStart"/>
      <w:r w:rsidRPr="00CC7062">
        <w:rPr>
          <w:rFonts w:ascii="Arial" w:eastAsia="Arial" w:hAnsi="Arial" w:cs="Arial"/>
        </w:rPr>
        <w:t>In particular, we</w:t>
      </w:r>
      <w:proofErr w:type="gramEnd"/>
      <w:r w:rsidRPr="00CC7062">
        <w:rPr>
          <w:rFonts w:ascii="Arial" w:eastAsia="Arial" w:hAnsi="Arial" w:cs="Arial"/>
        </w:rPr>
        <w:t xml:space="preserve"> note the value of USTR’s work several years ago </w:t>
      </w:r>
      <w:r w:rsidR="0053623C" w:rsidRPr="00CC7062">
        <w:rPr>
          <w:rFonts w:ascii="Arial" w:eastAsia="Arial" w:hAnsi="Arial" w:cs="Arial"/>
        </w:rPr>
        <w:t>with</w:t>
      </w:r>
      <w:r w:rsidR="001F2890" w:rsidRPr="00CC7062">
        <w:rPr>
          <w:rFonts w:ascii="Arial" w:eastAsia="Arial" w:hAnsi="Arial" w:cs="Arial"/>
        </w:rPr>
        <w:t xml:space="preserve"> Honduras </w:t>
      </w:r>
      <w:r w:rsidR="0053623C" w:rsidRPr="00CC7062">
        <w:rPr>
          <w:rFonts w:ascii="Arial" w:eastAsia="Arial" w:hAnsi="Arial" w:cs="Arial"/>
        </w:rPr>
        <w:t>to clarify the scope of registered multi-term GIs</w:t>
      </w:r>
      <w:r w:rsidRPr="00CC7062">
        <w:rPr>
          <w:rFonts w:ascii="Arial" w:eastAsia="Arial" w:hAnsi="Arial" w:cs="Arial"/>
        </w:rPr>
        <w:t xml:space="preserve"> and believe it should form the basis for similar assurances throughout the region</w:t>
      </w:r>
      <w:r w:rsidR="0053623C" w:rsidRPr="00CC7062">
        <w:rPr>
          <w:rFonts w:ascii="Arial" w:eastAsia="Arial" w:hAnsi="Arial" w:cs="Arial"/>
        </w:rPr>
        <w:t xml:space="preserve">. </w:t>
      </w:r>
    </w:p>
    <w:p w14:paraId="7B6D5EBB" w14:textId="77777777" w:rsidR="00267F81" w:rsidRPr="00CC7062" w:rsidRDefault="00267F81" w:rsidP="00B7238A">
      <w:pPr>
        <w:pStyle w:val="ListParagraph"/>
        <w:widowControl w:val="0"/>
        <w:tabs>
          <w:tab w:val="left" w:pos="810"/>
        </w:tabs>
        <w:autoSpaceDE w:val="0"/>
        <w:autoSpaceDN w:val="0"/>
        <w:ind w:left="1530" w:right="450"/>
        <w:jc w:val="both"/>
        <w:rPr>
          <w:rFonts w:ascii="Arial" w:eastAsia="Arial" w:hAnsi="Arial" w:cs="Arial"/>
        </w:rPr>
      </w:pPr>
    </w:p>
    <w:p w14:paraId="19E2B170" w14:textId="431C1F29" w:rsidR="00267F81" w:rsidRPr="00CC7062" w:rsidRDefault="00267F81" w:rsidP="00B7238A">
      <w:pPr>
        <w:pStyle w:val="ListParagraph"/>
        <w:widowControl w:val="0"/>
        <w:numPr>
          <w:ilvl w:val="0"/>
          <w:numId w:val="32"/>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In addition, last year the EU government finally exhausted a multi-stage appeal gauntlet with the highest Guatemalan court upholding the government’s accurate ruling many years ago: that parmesan is a generic term and that the registration of the GI Parmigiano Reggiano does not in any way restrict the usage of parmesan. It was gratifying to see a small country stand up to the EU government’s bullying tactics and insist on doing the right thing at every turn in the process, yet deeply disappointing that such an obvious result was one that Guatemala and generic users in that market were forced to litigation for years through multiple appeal stages simply to hold onto the status quo situation that existed prior to the EU’s bad-faith efforts to eradicate usage of the generic term in that market. </w:t>
      </w:r>
    </w:p>
    <w:p w14:paraId="15F7899F" w14:textId="77777777" w:rsidR="00267F81" w:rsidRPr="00CC7062" w:rsidRDefault="00267F81" w:rsidP="00B7238A">
      <w:pPr>
        <w:widowControl w:val="0"/>
        <w:tabs>
          <w:tab w:val="left" w:pos="810"/>
        </w:tabs>
        <w:autoSpaceDE w:val="0"/>
        <w:autoSpaceDN w:val="0"/>
        <w:ind w:left="810" w:right="450"/>
        <w:jc w:val="both"/>
        <w:rPr>
          <w:rFonts w:ascii="Arial" w:eastAsia="Arial" w:hAnsi="Arial" w:cs="Arial"/>
        </w:rPr>
      </w:pPr>
    </w:p>
    <w:p w14:paraId="025A34A7" w14:textId="77777777" w:rsidR="00A403E2" w:rsidRPr="00CC7062" w:rsidRDefault="003F16C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other markets in the region, namely Panama, Nicaragua and Costa Rica, the governments have to date declined to provide clarity </w:t>
      </w:r>
      <w:r w:rsidR="0053623C" w:rsidRPr="00CC7062">
        <w:rPr>
          <w:rFonts w:ascii="Arial" w:eastAsia="Arial" w:hAnsi="Arial" w:cs="Arial"/>
        </w:rPr>
        <w:t xml:space="preserve">regarding multi-term GIs </w:t>
      </w:r>
      <w:r w:rsidRPr="00CC7062">
        <w:rPr>
          <w:rFonts w:ascii="Arial" w:eastAsia="Arial" w:hAnsi="Arial" w:cs="Arial"/>
        </w:rPr>
        <w:t>in writing and we urge continued pursuit of this certainty.</w:t>
      </w:r>
      <w:r w:rsidR="00267F81" w:rsidRPr="00CC7062">
        <w:rPr>
          <w:rFonts w:ascii="Arial" w:eastAsia="Arial" w:hAnsi="Arial" w:cs="Arial"/>
        </w:rPr>
        <w:t xml:space="preserve"> U.S. exporters seeking to use their FTA rights to export to Costa Rica, for example, remain in a state of uncertainty as to the </w:t>
      </w:r>
      <w:r w:rsidR="00A403E2" w:rsidRPr="00CC7062">
        <w:rPr>
          <w:rFonts w:ascii="Arial" w:eastAsia="Arial" w:hAnsi="Arial" w:cs="Arial"/>
        </w:rPr>
        <w:t xml:space="preserve">permissibility of certain generic terms given the fact that Costa Rica has not issued confirmations regarding the scope of protection of previously registered GIs nor provided assurances to the U.S. that its FTA market access rights will not be further eroded in the future by subsequent GI applications. USTR and/or USDA quite commonly seek clarifications and assurances from our trading partners regarding how foreign regulations/policies are to be interpreted and how they will impact U.S. exports – that remains in our view the entirely appropriate course of action to pursue in this case as well. </w:t>
      </w:r>
    </w:p>
    <w:p w14:paraId="4E0449D7" w14:textId="77777777" w:rsidR="00A403E2" w:rsidRPr="00CC7062" w:rsidRDefault="00A403E2" w:rsidP="00B7238A">
      <w:pPr>
        <w:widowControl w:val="0"/>
        <w:tabs>
          <w:tab w:val="left" w:pos="810"/>
        </w:tabs>
        <w:autoSpaceDE w:val="0"/>
        <w:autoSpaceDN w:val="0"/>
        <w:ind w:left="810" w:right="450"/>
        <w:jc w:val="both"/>
        <w:rPr>
          <w:rFonts w:ascii="Arial" w:eastAsia="Arial" w:hAnsi="Arial" w:cs="Arial"/>
        </w:rPr>
      </w:pPr>
    </w:p>
    <w:p w14:paraId="1B4836DE" w14:textId="47D3CF22" w:rsidR="00AA257A" w:rsidRPr="00CC7062" w:rsidRDefault="00A403E2"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Against the backdrop of continued EU pressure to register more GIs in the region, o</w:t>
      </w:r>
      <w:r w:rsidR="00AA257A" w:rsidRPr="00CC7062">
        <w:rPr>
          <w:rFonts w:ascii="Arial" w:eastAsia="Arial" w:hAnsi="Arial" w:cs="Arial"/>
        </w:rPr>
        <w:t xml:space="preserve">ur organization strongly urges </w:t>
      </w:r>
      <w:r w:rsidRPr="00CC7062">
        <w:rPr>
          <w:rFonts w:ascii="Arial" w:eastAsia="Arial" w:hAnsi="Arial" w:cs="Arial"/>
        </w:rPr>
        <w:t>Central American countries</w:t>
      </w:r>
      <w:r w:rsidR="00AA257A" w:rsidRPr="00CC7062">
        <w:rPr>
          <w:rFonts w:ascii="Arial" w:eastAsia="Arial" w:hAnsi="Arial" w:cs="Arial"/>
        </w:rPr>
        <w:t xml:space="preserve"> to work further with the Administration to establish clearer trading conditions for U.S. exporters and ensure that the GIs registered in their countries are not protected in an overly expansive manner that impacts trade. Central America is an important growth market for the U.S. and safeguarding the full value of the concessions the U.S. secured under CAFTA is essential. </w:t>
      </w:r>
    </w:p>
    <w:p w14:paraId="3E8F51F7" w14:textId="77777777" w:rsidR="00AA257A" w:rsidRPr="00CC7062" w:rsidRDefault="00AA257A" w:rsidP="00B7238A">
      <w:pPr>
        <w:widowControl w:val="0"/>
        <w:tabs>
          <w:tab w:val="left" w:pos="810"/>
        </w:tabs>
        <w:autoSpaceDE w:val="0"/>
        <w:autoSpaceDN w:val="0"/>
        <w:ind w:left="810" w:right="450"/>
        <w:jc w:val="both"/>
        <w:rPr>
          <w:rFonts w:ascii="Arial" w:eastAsia="Arial" w:hAnsi="Arial" w:cs="Arial"/>
        </w:rPr>
      </w:pPr>
    </w:p>
    <w:p w14:paraId="5390F8D9" w14:textId="77777777" w:rsidR="00A403E2" w:rsidRPr="00CC7062" w:rsidRDefault="00A403E2" w:rsidP="00B7238A">
      <w:pPr>
        <w:widowControl w:val="0"/>
        <w:tabs>
          <w:tab w:val="left" w:pos="810"/>
        </w:tabs>
        <w:autoSpaceDE w:val="0"/>
        <w:autoSpaceDN w:val="0"/>
        <w:ind w:left="810" w:right="450"/>
        <w:jc w:val="both"/>
        <w:rPr>
          <w:rFonts w:ascii="Arial" w:eastAsia="Arial" w:hAnsi="Arial" w:cs="Arial"/>
          <w:b/>
        </w:rPr>
      </w:pPr>
    </w:p>
    <w:p w14:paraId="62D6B246" w14:textId="77777777" w:rsidR="00A403E2" w:rsidRPr="00CC7062" w:rsidRDefault="00A403E2" w:rsidP="00B7238A">
      <w:pPr>
        <w:widowControl w:val="0"/>
        <w:tabs>
          <w:tab w:val="left" w:pos="810"/>
        </w:tabs>
        <w:autoSpaceDE w:val="0"/>
        <w:autoSpaceDN w:val="0"/>
        <w:ind w:left="810" w:right="450"/>
        <w:jc w:val="both"/>
        <w:rPr>
          <w:rFonts w:ascii="Arial" w:eastAsia="Arial" w:hAnsi="Arial" w:cs="Arial"/>
          <w:b/>
        </w:rPr>
      </w:pPr>
    </w:p>
    <w:p w14:paraId="6D1A8384" w14:textId="7BA778EA" w:rsidR="0008062E" w:rsidRPr="00CC7062" w:rsidRDefault="0008062E" w:rsidP="00B7238A">
      <w:pPr>
        <w:widowControl w:val="0"/>
        <w:tabs>
          <w:tab w:val="left" w:pos="810"/>
        </w:tabs>
        <w:autoSpaceDE w:val="0"/>
        <w:autoSpaceDN w:val="0"/>
        <w:ind w:left="810" w:right="450"/>
        <w:jc w:val="both"/>
        <w:rPr>
          <w:rFonts w:ascii="Arial" w:eastAsia="Arial" w:hAnsi="Arial" w:cs="Arial"/>
          <w:b/>
          <w:bCs/>
        </w:rPr>
      </w:pPr>
      <w:r w:rsidRPr="00CC7062">
        <w:rPr>
          <w:rFonts w:ascii="Arial" w:eastAsia="Arial" w:hAnsi="Arial" w:cs="Arial"/>
          <w:b/>
          <w:bCs/>
        </w:rPr>
        <w:lastRenderedPageBreak/>
        <w:t>Chile</w:t>
      </w:r>
    </w:p>
    <w:p w14:paraId="726BB69A" w14:textId="03BBB717" w:rsidR="00AA257A" w:rsidRPr="00CC7062" w:rsidRDefault="00134F4E"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w:t>
      </w:r>
      <w:r w:rsidR="000D4624" w:rsidRPr="00CC7062">
        <w:rPr>
          <w:rFonts w:ascii="Arial" w:eastAsia="Arial" w:hAnsi="Arial" w:cs="Arial"/>
        </w:rPr>
        <w:t xml:space="preserve">he EU and Chile </w:t>
      </w:r>
      <w:r w:rsidRPr="00CC7062">
        <w:rPr>
          <w:rFonts w:ascii="Arial" w:eastAsia="Arial" w:hAnsi="Arial" w:cs="Arial"/>
        </w:rPr>
        <w:t>continue</w:t>
      </w:r>
      <w:r w:rsidR="000D4624" w:rsidRPr="00CC7062">
        <w:rPr>
          <w:rFonts w:ascii="Arial" w:eastAsia="Arial" w:hAnsi="Arial" w:cs="Arial"/>
        </w:rPr>
        <w:t xml:space="preserve"> negotiations aimed at modernizing</w:t>
      </w:r>
      <w:r w:rsidR="00411F2E" w:rsidRPr="00CC7062">
        <w:rPr>
          <w:rFonts w:ascii="Arial" w:eastAsia="Arial" w:hAnsi="Arial" w:cs="Arial"/>
        </w:rPr>
        <w:t xml:space="preserve"> the EU-Chile FTA. As </w:t>
      </w:r>
      <w:r w:rsidRPr="00CC7062">
        <w:rPr>
          <w:rFonts w:ascii="Arial" w:eastAsia="Arial" w:hAnsi="Arial" w:cs="Arial"/>
        </w:rPr>
        <w:t>it has with its other FTA partners</w:t>
      </w:r>
      <w:r w:rsidR="00411F2E" w:rsidRPr="00CC7062">
        <w:rPr>
          <w:rFonts w:ascii="Arial" w:eastAsia="Arial" w:hAnsi="Arial" w:cs="Arial"/>
        </w:rPr>
        <w:t xml:space="preserve">, </w:t>
      </w:r>
      <w:r w:rsidR="004916FF" w:rsidRPr="00CC7062">
        <w:rPr>
          <w:rFonts w:ascii="Arial" w:eastAsia="Arial" w:hAnsi="Arial" w:cs="Arial"/>
        </w:rPr>
        <w:t xml:space="preserve">the EU </w:t>
      </w:r>
      <w:r w:rsidRPr="00CC7062">
        <w:rPr>
          <w:rFonts w:ascii="Arial" w:eastAsia="Arial" w:hAnsi="Arial" w:cs="Arial"/>
        </w:rPr>
        <w:t xml:space="preserve">government </w:t>
      </w:r>
      <w:r w:rsidR="000D4624" w:rsidRPr="00CC7062">
        <w:rPr>
          <w:rFonts w:ascii="Arial" w:eastAsia="Arial" w:hAnsi="Arial" w:cs="Arial"/>
        </w:rPr>
        <w:t xml:space="preserve">is </w:t>
      </w:r>
      <w:r w:rsidRPr="00CC7062">
        <w:rPr>
          <w:rFonts w:ascii="Arial" w:eastAsia="Arial" w:hAnsi="Arial" w:cs="Arial"/>
        </w:rPr>
        <w:t>working</w:t>
      </w:r>
      <w:r w:rsidR="004916FF" w:rsidRPr="00CC7062">
        <w:rPr>
          <w:rFonts w:ascii="Arial" w:eastAsia="Arial" w:hAnsi="Arial" w:cs="Arial"/>
        </w:rPr>
        <w:t xml:space="preserve"> to use this negotiation to create monopolies </w:t>
      </w:r>
      <w:r w:rsidR="006C3CA9" w:rsidRPr="00CC7062">
        <w:rPr>
          <w:rFonts w:ascii="Arial" w:eastAsia="Arial" w:hAnsi="Arial" w:cs="Arial"/>
        </w:rPr>
        <w:t xml:space="preserve">for European companies in common food and beverage categories while working to </w:t>
      </w:r>
      <w:r w:rsidR="004916FF" w:rsidRPr="00CC7062">
        <w:rPr>
          <w:rFonts w:ascii="Arial" w:eastAsia="Arial" w:hAnsi="Arial" w:cs="Arial"/>
        </w:rPr>
        <w:t xml:space="preserve">deny common name users the right to sell products in Chile. </w:t>
      </w:r>
      <w:r w:rsidR="003B17AF" w:rsidRPr="00CC7062">
        <w:rPr>
          <w:rFonts w:ascii="Arial" w:eastAsia="Arial" w:hAnsi="Arial" w:cs="Arial"/>
        </w:rPr>
        <w:t xml:space="preserve">Such a result would strip U.S. exporters of the full value of concessions negotiated by the U.S. under the U.S.-Chile FTA. </w:t>
      </w:r>
    </w:p>
    <w:p w14:paraId="76FBFA39" w14:textId="77777777" w:rsidR="00AA257A" w:rsidRPr="00CC7062" w:rsidRDefault="00AA257A" w:rsidP="00B7238A">
      <w:pPr>
        <w:widowControl w:val="0"/>
        <w:tabs>
          <w:tab w:val="left" w:pos="810"/>
        </w:tabs>
        <w:autoSpaceDE w:val="0"/>
        <w:autoSpaceDN w:val="0"/>
        <w:ind w:left="810" w:right="450"/>
        <w:jc w:val="both"/>
        <w:rPr>
          <w:rFonts w:ascii="Arial" w:eastAsia="Arial" w:hAnsi="Arial" w:cs="Arial"/>
        </w:rPr>
      </w:pPr>
    </w:p>
    <w:p w14:paraId="21CB1C6F" w14:textId="461F9419" w:rsidR="006C3CA9" w:rsidRPr="00CC7062" w:rsidRDefault="00D22ED1"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As part of t</w:t>
      </w:r>
      <w:r w:rsidR="00AA257A" w:rsidRPr="00CC7062">
        <w:rPr>
          <w:rFonts w:ascii="Arial" w:eastAsia="Arial" w:hAnsi="Arial" w:cs="Arial"/>
        </w:rPr>
        <w:t xml:space="preserve">he negotiations, </w:t>
      </w:r>
      <w:r w:rsidR="00134F4E" w:rsidRPr="00CC7062">
        <w:rPr>
          <w:rFonts w:ascii="Arial" w:eastAsia="Arial" w:hAnsi="Arial" w:cs="Arial"/>
        </w:rPr>
        <w:t xml:space="preserve">in 2019 </w:t>
      </w:r>
      <w:r w:rsidRPr="00CC7062">
        <w:rPr>
          <w:rFonts w:ascii="Arial" w:eastAsia="Arial" w:hAnsi="Arial" w:cs="Arial"/>
        </w:rPr>
        <w:t>Chile published a list of 222</w:t>
      </w:r>
      <w:r w:rsidR="00AA257A" w:rsidRPr="00CC7062">
        <w:rPr>
          <w:rFonts w:ascii="Arial" w:eastAsia="Arial" w:hAnsi="Arial" w:cs="Arial"/>
        </w:rPr>
        <w:t xml:space="preserve"> </w:t>
      </w:r>
      <w:r w:rsidR="003B17AF" w:rsidRPr="00CC7062">
        <w:rPr>
          <w:rFonts w:ascii="Arial" w:eastAsia="Arial" w:hAnsi="Arial" w:cs="Arial"/>
        </w:rPr>
        <w:t xml:space="preserve">GIs </w:t>
      </w:r>
      <w:r w:rsidR="00AA257A" w:rsidRPr="00CC7062">
        <w:rPr>
          <w:rFonts w:ascii="Arial" w:eastAsia="Arial" w:hAnsi="Arial" w:cs="Arial"/>
        </w:rPr>
        <w:t xml:space="preserve">for which the EU </w:t>
      </w:r>
      <w:r w:rsidR="00A76336" w:rsidRPr="00CC7062">
        <w:rPr>
          <w:rFonts w:ascii="Arial" w:eastAsia="Arial" w:hAnsi="Arial" w:cs="Arial"/>
        </w:rPr>
        <w:t xml:space="preserve">government </w:t>
      </w:r>
      <w:r w:rsidR="003B17AF" w:rsidRPr="00CC7062">
        <w:rPr>
          <w:rFonts w:ascii="Arial" w:eastAsia="Arial" w:hAnsi="Arial" w:cs="Arial"/>
        </w:rPr>
        <w:t>seek</w:t>
      </w:r>
      <w:r w:rsidR="00AA257A" w:rsidRPr="00CC7062">
        <w:rPr>
          <w:rFonts w:ascii="Arial" w:eastAsia="Arial" w:hAnsi="Arial" w:cs="Arial"/>
        </w:rPr>
        <w:t>s</w:t>
      </w:r>
      <w:r w:rsidR="003B17AF" w:rsidRPr="00CC7062">
        <w:rPr>
          <w:rFonts w:ascii="Arial" w:eastAsia="Arial" w:hAnsi="Arial" w:cs="Arial"/>
        </w:rPr>
        <w:t xml:space="preserve"> registration. </w:t>
      </w:r>
      <w:r w:rsidR="000D4624" w:rsidRPr="00CC7062">
        <w:rPr>
          <w:rFonts w:ascii="Arial" w:eastAsia="Arial" w:hAnsi="Arial" w:cs="Arial"/>
        </w:rPr>
        <w:t xml:space="preserve">We urge the Administration to </w:t>
      </w:r>
      <w:r w:rsidR="00F93994" w:rsidRPr="00CC7062">
        <w:rPr>
          <w:rFonts w:ascii="Arial" w:eastAsia="Arial" w:hAnsi="Arial" w:cs="Arial"/>
        </w:rPr>
        <w:t xml:space="preserve">take proactive steps this year to preserve the full range of </w:t>
      </w:r>
      <w:r w:rsidR="00AA257A" w:rsidRPr="00CC7062">
        <w:rPr>
          <w:rFonts w:ascii="Arial" w:eastAsia="Arial" w:hAnsi="Arial" w:cs="Arial"/>
        </w:rPr>
        <w:t xml:space="preserve">U.S. </w:t>
      </w:r>
      <w:r w:rsidR="004916FF" w:rsidRPr="00CC7062">
        <w:rPr>
          <w:rFonts w:ascii="Arial" w:eastAsia="Arial" w:hAnsi="Arial" w:cs="Arial"/>
        </w:rPr>
        <w:t>exporters</w:t>
      </w:r>
      <w:r w:rsidR="006C3CA9" w:rsidRPr="00CC7062">
        <w:rPr>
          <w:rFonts w:ascii="Arial" w:eastAsia="Arial" w:hAnsi="Arial" w:cs="Arial"/>
        </w:rPr>
        <w:t>’</w:t>
      </w:r>
      <w:r w:rsidR="004916FF" w:rsidRPr="00CC7062">
        <w:rPr>
          <w:rFonts w:ascii="Arial" w:eastAsia="Arial" w:hAnsi="Arial" w:cs="Arial"/>
        </w:rPr>
        <w:t xml:space="preserve"> access to the Chilean market</w:t>
      </w:r>
      <w:r w:rsidR="00D85889" w:rsidRPr="00CC7062">
        <w:rPr>
          <w:rFonts w:ascii="Arial" w:eastAsia="Arial" w:hAnsi="Arial" w:cs="Arial"/>
        </w:rPr>
        <w:t xml:space="preserve"> by securing concrete commitments preserving our market access rights with this valuable FTA partner</w:t>
      </w:r>
      <w:r w:rsidR="004916FF" w:rsidRPr="00CC7062">
        <w:rPr>
          <w:rFonts w:ascii="Arial" w:eastAsia="Arial" w:hAnsi="Arial" w:cs="Arial"/>
        </w:rPr>
        <w:t>.</w:t>
      </w:r>
      <w:r w:rsidR="00AA257A" w:rsidRPr="00CC7062">
        <w:rPr>
          <w:rFonts w:ascii="Arial" w:eastAsia="Arial" w:hAnsi="Arial" w:cs="Arial"/>
        </w:rPr>
        <w:t xml:space="preserve"> Without such steps, U.S. export opportunity to this FTA partner are at high risk of facing new barriers to trade. </w:t>
      </w:r>
    </w:p>
    <w:p w14:paraId="7B8EAB30" w14:textId="77777777" w:rsidR="00E85AD7" w:rsidRPr="00CC7062" w:rsidRDefault="00E85AD7" w:rsidP="00B7238A">
      <w:pPr>
        <w:widowControl w:val="0"/>
        <w:tabs>
          <w:tab w:val="left" w:pos="810"/>
        </w:tabs>
        <w:autoSpaceDE w:val="0"/>
        <w:autoSpaceDN w:val="0"/>
        <w:ind w:right="450"/>
        <w:jc w:val="both"/>
        <w:rPr>
          <w:rFonts w:ascii="Arial" w:eastAsia="Arial" w:hAnsi="Arial" w:cs="Arial"/>
        </w:rPr>
      </w:pPr>
    </w:p>
    <w:p w14:paraId="2B4A3E36" w14:textId="77777777" w:rsidR="00E85AD7" w:rsidRPr="00CC7062" w:rsidRDefault="00E85AD7" w:rsidP="00B7238A">
      <w:pPr>
        <w:widowControl w:val="0"/>
        <w:tabs>
          <w:tab w:val="left" w:pos="810"/>
        </w:tabs>
        <w:autoSpaceDE w:val="0"/>
        <w:autoSpaceDN w:val="0"/>
        <w:ind w:left="810" w:right="450"/>
        <w:jc w:val="both"/>
        <w:rPr>
          <w:rFonts w:ascii="Arial" w:eastAsia="Arial" w:hAnsi="Arial" w:cs="Arial"/>
        </w:rPr>
      </w:pPr>
    </w:p>
    <w:p w14:paraId="57963CD3" w14:textId="77777777"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China</w:t>
      </w:r>
    </w:p>
    <w:p w14:paraId="42027267" w14:textId="7E87B445" w:rsidR="00134F4E" w:rsidRPr="00CC7062" w:rsidRDefault="00134F4E" w:rsidP="00B7238A">
      <w:pPr>
        <w:widowControl w:val="0"/>
        <w:tabs>
          <w:tab w:val="left" w:pos="810"/>
        </w:tabs>
        <w:autoSpaceDE w:val="0"/>
        <w:autoSpaceDN w:val="0"/>
        <w:ind w:left="810" w:right="450"/>
        <w:jc w:val="both"/>
        <w:outlineLvl w:val="0"/>
        <w:rPr>
          <w:rFonts w:ascii="Arial" w:eastAsia="Arial" w:hAnsi="Arial" w:cs="Arial"/>
        </w:rPr>
      </w:pPr>
      <w:r w:rsidRPr="00CC7062">
        <w:rPr>
          <w:rFonts w:ascii="Arial" w:eastAsia="Arial" w:hAnsi="Arial" w:cs="Arial"/>
        </w:rPr>
        <w:t>Last year</w:t>
      </w:r>
      <w:r w:rsidR="000F3AAA" w:rsidRPr="00CC7062">
        <w:rPr>
          <w:rFonts w:ascii="Arial" w:eastAsia="Arial" w:hAnsi="Arial" w:cs="Arial"/>
        </w:rPr>
        <w:t xml:space="preserve">, China and the EU </w:t>
      </w:r>
      <w:r w:rsidR="00A76336" w:rsidRPr="00CC7062">
        <w:rPr>
          <w:rFonts w:ascii="Arial" w:eastAsia="Arial" w:hAnsi="Arial" w:cs="Arial"/>
        </w:rPr>
        <w:t xml:space="preserve">government </w:t>
      </w:r>
      <w:r w:rsidRPr="00CC7062">
        <w:rPr>
          <w:rFonts w:ascii="Arial" w:eastAsia="Arial" w:hAnsi="Arial" w:cs="Arial"/>
        </w:rPr>
        <w:t xml:space="preserve">signed a </w:t>
      </w:r>
      <w:r w:rsidR="000F3AAA" w:rsidRPr="00CC7062">
        <w:rPr>
          <w:rFonts w:ascii="Arial" w:eastAsia="Arial" w:hAnsi="Arial" w:cs="Arial"/>
        </w:rPr>
        <w:t>“100 for 100” GI</w:t>
      </w:r>
      <w:r w:rsidRPr="00CC7062">
        <w:rPr>
          <w:rFonts w:ascii="Arial" w:eastAsia="Arial" w:hAnsi="Arial" w:cs="Arial"/>
        </w:rPr>
        <w:t>s</w:t>
      </w:r>
      <w:r w:rsidR="000F3AAA" w:rsidRPr="00CC7062">
        <w:rPr>
          <w:rFonts w:ascii="Arial" w:eastAsia="Arial" w:hAnsi="Arial" w:cs="Arial"/>
        </w:rPr>
        <w:t xml:space="preserve"> agreement</w:t>
      </w:r>
      <w:r w:rsidRPr="00CC7062">
        <w:rPr>
          <w:rFonts w:ascii="Arial" w:eastAsia="Arial" w:hAnsi="Arial" w:cs="Arial"/>
        </w:rPr>
        <w:t xml:space="preserve"> which is expected to enter into force early in 2021.</w:t>
      </w:r>
      <w:r w:rsidR="000F3AAA" w:rsidRPr="00CC7062">
        <w:rPr>
          <w:rFonts w:ascii="Arial" w:eastAsia="Arial" w:hAnsi="Arial" w:cs="Arial"/>
        </w:rPr>
        <w:t xml:space="preserve"> The EU GIs covered by this new treaty include dairy and meat products, wine, </w:t>
      </w:r>
      <w:proofErr w:type="gramStart"/>
      <w:r w:rsidR="000F3AAA" w:rsidRPr="00CC7062">
        <w:rPr>
          <w:rFonts w:ascii="Arial" w:eastAsia="Arial" w:hAnsi="Arial" w:cs="Arial"/>
        </w:rPr>
        <w:t>beer</w:t>
      </w:r>
      <w:proofErr w:type="gramEnd"/>
      <w:r w:rsidR="000F3AAA" w:rsidRPr="00CC7062">
        <w:rPr>
          <w:rFonts w:ascii="Arial" w:eastAsia="Arial" w:hAnsi="Arial" w:cs="Arial"/>
        </w:rPr>
        <w:t xml:space="preserve"> and spirits</w:t>
      </w:r>
      <w:r w:rsidRPr="00CC7062">
        <w:rPr>
          <w:rFonts w:ascii="Arial" w:eastAsia="Arial" w:hAnsi="Arial" w:cs="Arial"/>
        </w:rPr>
        <w:t>; some GIs were approved that will restrict the ability of U.S. exporters to ship products relying on common names to China</w:t>
      </w:r>
      <w:r w:rsidR="000F3AAA" w:rsidRPr="00CC7062">
        <w:rPr>
          <w:rFonts w:ascii="Arial" w:eastAsia="Arial" w:hAnsi="Arial" w:cs="Arial"/>
        </w:rPr>
        <w:t xml:space="preserve">. In addition, the </w:t>
      </w:r>
      <w:r w:rsidR="00EC355D" w:rsidRPr="00CC7062">
        <w:rPr>
          <w:rFonts w:ascii="Arial" w:eastAsia="Arial" w:hAnsi="Arial" w:cs="Arial"/>
        </w:rPr>
        <w:t>EU</w:t>
      </w:r>
      <w:r w:rsidR="00A76336" w:rsidRPr="00CC7062">
        <w:rPr>
          <w:rFonts w:ascii="Arial" w:eastAsia="Arial" w:hAnsi="Arial" w:cs="Arial"/>
        </w:rPr>
        <w:t xml:space="preserve"> government</w:t>
      </w:r>
      <w:r w:rsidR="00EC355D" w:rsidRPr="00CC7062">
        <w:rPr>
          <w:rFonts w:ascii="Arial" w:eastAsia="Arial" w:hAnsi="Arial" w:cs="Arial"/>
        </w:rPr>
        <w:t xml:space="preserve"> and China</w:t>
      </w:r>
      <w:r w:rsidR="000F3AAA" w:rsidRPr="00CC7062">
        <w:rPr>
          <w:rFonts w:ascii="Arial" w:eastAsia="Arial" w:hAnsi="Arial" w:cs="Arial"/>
        </w:rPr>
        <w:t xml:space="preserve"> </w:t>
      </w:r>
      <w:r w:rsidRPr="00CC7062">
        <w:rPr>
          <w:rFonts w:ascii="Arial" w:eastAsia="Arial" w:hAnsi="Arial" w:cs="Arial"/>
        </w:rPr>
        <w:t xml:space="preserve">have agreed </w:t>
      </w:r>
      <w:r w:rsidR="000F3AAA" w:rsidRPr="00CC7062">
        <w:rPr>
          <w:rFonts w:ascii="Arial" w:eastAsia="Arial" w:hAnsi="Arial" w:cs="Arial"/>
        </w:rPr>
        <w:t xml:space="preserve">to consider </w:t>
      </w:r>
      <w:r w:rsidRPr="00CC7062">
        <w:rPr>
          <w:rFonts w:ascii="Arial" w:eastAsia="Arial" w:hAnsi="Arial" w:cs="Arial"/>
        </w:rPr>
        <w:t xml:space="preserve">a second wave of 175 </w:t>
      </w:r>
      <w:r w:rsidR="000F3AAA" w:rsidRPr="00CC7062">
        <w:rPr>
          <w:rFonts w:ascii="Arial" w:eastAsia="Arial" w:hAnsi="Arial" w:cs="Arial"/>
        </w:rPr>
        <w:t xml:space="preserve">additional GIs </w:t>
      </w:r>
      <w:r w:rsidRPr="00CC7062">
        <w:rPr>
          <w:rFonts w:ascii="Arial" w:eastAsia="Arial" w:hAnsi="Arial" w:cs="Arial"/>
        </w:rPr>
        <w:t xml:space="preserve">within four years of the initial agreement’s implementation. </w:t>
      </w:r>
      <w:r w:rsidR="000F3AAA" w:rsidRPr="00CC7062">
        <w:rPr>
          <w:rFonts w:ascii="Arial" w:eastAsia="Arial" w:hAnsi="Arial" w:cs="Arial"/>
        </w:rPr>
        <w:t xml:space="preserve"> </w:t>
      </w:r>
    </w:p>
    <w:p w14:paraId="598A82A7" w14:textId="77777777" w:rsidR="00134F4E" w:rsidRPr="00CC7062" w:rsidRDefault="00134F4E" w:rsidP="00B7238A">
      <w:pPr>
        <w:widowControl w:val="0"/>
        <w:tabs>
          <w:tab w:val="left" w:pos="810"/>
        </w:tabs>
        <w:autoSpaceDE w:val="0"/>
        <w:autoSpaceDN w:val="0"/>
        <w:ind w:left="810" w:right="450"/>
        <w:jc w:val="both"/>
        <w:outlineLvl w:val="0"/>
        <w:rPr>
          <w:rFonts w:ascii="Arial" w:eastAsia="Arial" w:hAnsi="Arial" w:cs="Arial"/>
        </w:rPr>
      </w:pPr>
    </w:p>
    <w:p w14:paraId="31BA544D" w14:textId="77777777" w:rsidR="00A76336" w:rsidRPr="00CC7062" w:rsidRDefault="00EC355D" w:rsidP="00B7238A">
      <w:pPr>
        <w:widowControl w:val="0"/>
        <w:tabs>
          <w:tab w:val="left" w:pos="810"/>
        </w:tabs>
        <w:autoSpaceDE w:val="0"/>
        <w:autoSpaceDN w:val="0"/>
        <w:ind w:left="810" w:right="450"/>
        <w:jc w:val="both"/>
        <w:outlineLvl w:val="0"/>
        <w:rPr>
          <w:rFonts w:ascii="Arial" w:eastAsia="Arial" w:hAnsi="Arial" w:cs="Arial"/>
        </w:rPr>
      </w:pPr>
      <w:r w:rsidRPr="00CC7062">
        <w:rPr>
          <w:rFonts w:ascii="Arial" w:eastAsia="Arial" w:hAnsi="Arial" w:cs="Arial"/>
        </w:rPr>
        <w:t xml:space="preserve">We </w:t>
      </w:r>
      <w:r w:rsidR="00134F4E" w:rsidRPr="00CC7062">
        <w:rPr>
          <w:rFonts w:ascii="Arial" w:eastAsia="Arial" w:hAnsi="Arial" w:cs="Arial"/>
        </w:rPr>
        <w:t>support</w:t>
      </w:r>
      <w:r w:rsidRPr="00CC7062">
        <w:rPr>
          <w:rFonts w:ascii="Arial" w:eastAsia="Arial" w:hAnsi="Arial" w:cs="Arial"/>
        </w:rPr>
        <w:t xml:space="preserve"> the </w:t>
      </w:r>
      <w:r w:rsidR="00134F4E" w:rsidRPr="00CC7062">
        <w:rPr>
          <w:rFonts w:ascii="Arial" w:eastAsia="Arial" w:hAnsi="Arial" w:cs="Arial"/>
        </w:rPr>
        <w:t>inclusion</w:t>
      </w:r>
      <w:r w:rsidRPr="00CC7062">
        <w:rPr>
          <w:rFonts w:ascii="Arial" w:eastAsia="Arial" w:hAnsi="Arial" w:cs="Arial"/>
        </w:rPr>
        <w:t xml:space="preserve"> of </w:t>
      </w:r>
      <w:r w:rsidR="00134F4E" w:rsidRPr="00CC7062">
        <w:rPr>
          <w:rFonts w:ascii="Arial" w:eastAsia="Arial" w:hAnsi="Arial" w:cs="Arial"/>
        </w:rPr>
        <w:t>assurances</w:t>
      </w:r>
      <w:r w:rsidRPr="00CC7062">
        <w:rPr>
          <w:rFonts w:ascii="Arial" w:eastAsia="Arial" w:hAnsi="Arial" w:cs="Arial"/>
        </w:rPr>
        <w:t xml:space="preserve"> and due process procedures related to GIs and common food names in the Phase 1 U.S.-China agreement signed </w:t>
      </w:r>
      <w:r w:rsidR="00134F4E" w:rsidRPr="00CC7062">
        <w:rPr>
          <w:rFonts w:ascii="Arial" w:eastAsia="Arial" w:hAnsi="Arial" w:cs="Arial"/>
        </w:rPr>
        <w:t>last</w:t>
      </w:r>
      <w:r w:rsidRPr="00CC7062">
        <w:rPr>
          <w:rFonts w:ascii="Arial" w:eastAsia="Arial" w:hAnsi="Arial" w:cs="Arial"/>
        </w:rPr>
        <w:t xml:space="preserve"> year. </w:t>
      </w:r>
      <w:r w:rsidR="00134F4E" w:rsidRPr="00CC7062">
        <w:rPr>
          <w:rFonts w:ascii="Arial" w:eastAsia="Arial" w:hAnsi="Arial" w:cs="Arial"/>
        </w:rPr>
        <w:t xml:space="preserve">It will be critical to ensure full usage of these provisions, should this agreement remain in effect, as China advances the additional wave of GIs and as </w:t>
      </w:r>
      <w:r w:rsidR="00A76336" w:rsidRPr="00CC7062">
        <w:rPr>
          <w:rFonts w:ascii="Arial" w:eastAsia="Arial" w:hAnsi="Arial" w:cs="Arial"/>
        </w:rPr>
        <w:t xml:space="preserve">some </w:t>
      </w:r>
      <w:r w:rsidR="00134F4E" w:rsidRPr="00CC7062">
        <w:rPr>
          <w:rFonts w:ascii="Arial" w:eastAsia="Arial" w:hAnsi="Arial" w:cs="Arial"/>
        </w:rPr>
        <w:t xml:space="preserve">EU stakeholders attempt to assert </w:t>
      </w:r>
      <w:r w:rsidR="00A76336" w:rsidRPr="00CC7062">
        <w:rPr>
          <w:rFonts w:ascii="Arial" w:eastAsia="Arial" w:hAnsi="Arial" w:cs="Arial"/>
        </w:rPr>
        <w:t xml:space="preserve">certain rights which China made clear in its EU agreement were not granted to various GIs. </w:t>
      </w:r>
    </w:p>
    <w:p w14:paraId="69A122F8" w14:textId="65C76FFD" w:rsidR="00EC355D" w:rsidRPr="00CC7062" w:rsidRDefault="00EC355D" w:rsidP="00B7238A">
      <w:pPr>
        <w:widowControl w:val="0"/>
        <w:tabs>
          <w:tab w:val="left" w:pos="810"/>
        </w:tabs>
        <w:autoSpaceDE w:val="0"/>
        <w:autoSpaceDN w:val="0"/>
        <w:ind w:left="810" w:right="450"/>
        <w:jc w:val="both"/>
        <w:outlineLvl w:val="0"/>
        <w:rPr>
          <w:rFonts w:ascii="Arial" w:eastAsia="Arial" w:hAnsi="Arial" w:cs="Arial"/>
        </w:rPr>
      </w:pPr>
    </w:p>
    <w:p w14:paraId="2F202C54" w14:textId="77777777" w:rsidR="00EC355D" w:rsidRPr="00CC7062" w:rsidRDefault="00EC355D" w:rsidP="00B7238A">
      <w:pPr>
        <w:widowControl w:val="0"/>
        <w:tabs>
          <w:tab w:val="left" w:pos="810"/>
        </w:tabs>
        <w:autoSpaceDE w:val="0"/>
        <w:autoSpaceDN w:val="0"/>
        <w:ind w:left="810" w:right="450"/>
        <w:jc w:val="both"/>
        <w:outlineLvl w:val="0"/>
        <w:rPr>
          <w:rFonts w:ascii="Arial" w:eastAsia="Arial" w:hAnsi="Arial" w:cs="Arial"/>
        </w:rPr>
      </w:pPr>
    </w:p>
    <w:p w14:paraId="6BC402F6" w14:textId="6404D702"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Colombia</w:t>
      </w:r>
    </w:p>
    <w:p w14:paraId="031A9822" w14:textId="3A3D35D9" w:rsidR="00D05623"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As part of the Colombia-EU FTA, </w:t>
      </w:r>
      <w:r w:rsidR="00A76336" w:rsidRPr="00CC7062">
        <w:rPr>
          <w:rFonts w:ascii="Arial" w:eastAsia="Arial" w:hAnsi="Arial" w:cs="Arial"/>
        </w:rPr>
        <w:t xml:space="preserve">which was implemented in 2013, </w:t>
      </w:r>
      <w:r w:rsidRPr="00CC7062">
        <w:rPr>
          <w:rFonts w:ascii="Arial" w:eastAsia="Arial" w:hAnsi="Arial" w:cs="Arial"/>
        </w:rPr>
        <w:t xml:space="preserve">Colombia </w:t>
      </w:r>
      <w:r w:rsidR="00A76336" w:rsidRPr="00CC7062">
        <w:rPr>
          <w:rFonts w:ascii="Arial" w:eastAsia="Arial" w:hAnsi="Arial" w:cs="Arial"/>
        </w:rPr>
        <w:t xml:space="preserve">acquiesced to EU government demands to </w:t>
      </w:r>
      <w:r w:rsidR="008B6050" w:rsidRPr="00CC7062">
        <w:rPr>
          <w:rFonts w:ascii="Arial" w:eastAsia="Arial" w:hAnsi="Arial" w:cs="Arial"/>
        </w:rPr>
        <w:t xml:space="preserve">establish GIs for </w:t>
      </w:r>
      <w:r w:rsidRPr="00CC7062">
        <w:rPr>
          <w:rFonts w:ascii="Arial" w:eastAsia="Arial" w:hAnsi="Arial" w:cs="Arial"/>
        </w:rPr>
        <w:t xml:space="preserve">certain common </w:t>
      </w:r>
      <w:r w:rsidR="00114F11" w:rsidRPr="00CC7062">
        <w:rPr>
          <w:rFonts w:ascii="Arial" w:eastAsia="Arial" w:hAnsi="Arial" w:cs="Arial"/>
        </w:rPr>
        <w:t>food</w:t>
      </w:r>
      <w:r w:rsidRPr="00CC7062">
        <w:rPr>
          <w:rFonts w:ascii="Arial" w:eastAsia="Arial" w:hAnsi="Arial" w:cs="Arial"/>
        </w:rPr>
        <w:t xml:space="preserve"> names. This action impaired the value of concessions granted to the</w:t>
      </w:r>
      <w:r w:rsidR="00DF3629" w:rsidRPr="00CC7062">
        <w:rPr>
          <w:rFonts w:ascii="Arial" w:eastAsia="Arial" w:hAnsi="Arial" w:cs="Arial"/>
        </w:rPr>
        <w:t xml:space="preserve"> </w:t>
      </w:r>
      <w:r w:rsidRPr="00CC7062">
        <w:rPr>
          <w:rFonts w:ascii="Arial" w:eastAsia="Arial" w:hAnsi="Arial" w:cs="Arial"/>
        </w:rPr>
        <w:t xml:space="preserve">U.S. under the U.S.-Colombia FTA. At the same time, however, Colombia also took positive steps to address U.S. concerns regarding other </w:t>
      </w:r>
      <w:r w:rsidR="00A76336" w:rsidRPr="00CC7062">
        <w:rPr>
          <w:rFonts w:ascii="Arial" w:eastAsia="Arial" w:hAnsi="Arial" w:cs="Arial"/>
        </w:rPr>
        <w:t>terms</w:t>
      </w:r>
      <w:r w:rsidRPr="00CC7062">
        <w:rPr>
          <w:rFonts w:ascii="Arial" w:eastAsia="Arial" w:hAnsi="Arial" w:cs="Arial"/>
        </w:rPr>
        <w:t xml:space="preserve"> by clarifying the scope of protection provided for certain multi-term GIs</w:t>
      </w:r>
      <w:r w:rsidR="008B6050" w:rsidRPr="00CC7062">
        <w:rPr>
          <w:rFonts w:ascii="Arial" w:eastAsia="Arial" w:hAnsi="Arial" w:cs="Arial"/>
        </w:rPr>
        <w:t xml:space="preserve"> including terms such as parmesan, provolone, </w:t>
      </w:r>
      <w:proofErr w:type="gramStart"/>
      <w:r w:rsidR="008B6050" w:rsidRPr="00CC7062">
        <w:rPr>
          <w:rFonts w:ascii="Arial" w:eastAsia="Arial" w:hAnsi="Arial" w:cs="Arial"/>
        </w:rPr>
        <w:t>brie</w:t>
      </w:r>
      <w:proofErr w:type="gramEnd"/>
      <w:r w:rsidR="008B6050" w:rsidRPr="00CC7062">
        <w:rPr>
          <w:rFonts w:ascii="Arial" w:eastAsia="Arial" w:hAnsi="Arial" w:cs="Arial"/>
        </w:rPr>
        <w:t xml:space="preserve"> and others</w:t>
      </w:r>
      <w:r w:rsidRPr="00CC7062">
        <w:rPr>
          <w:rFonts w:ascii="Arial" w:eastAsia="Arial" w:hAnsi="Arial" w:cs="Arial"/>
        </w:rPr>
        <w:t>.</w:t>
      </w:r>
      <w:r w:rsidR="00905B55" w:rsidRPr="00CC7062">
        <w:rPr>
          <w:rFonts w:ascii="Arial" w:eastAsia="Arial" w:hAnsi="Arial" w:cs="Arial"/>
        </w:rPr>
        <w:t xml:space="preserve"> T</w:t>
      </w:r>
      <w:r w:rsidR="008B6050" w:rsidRPr="00CC7062">
        <w:rPr>
          <w:rFonts w:ascii="Arial" w:eastAsia="Arial" w:hAnsi="Arial" w:cs="Arial"/>
        </w:rPr>
        <w:t xml:space="preserve">hose generic use assurances related to compound GIs </w:t>
      </w:r>
      <w:r w:rsidR="00905B55" w:rsidRPr="00CC7062">
        <w:rPr>
          <w:rFonts w:ascii="Arial" w:eastAsia="Arial" w:hAnsi="Arial" w:cs="Arial"/>
        </w:rPr>
        <w:t xml:space="preserve">must </w:t>
      </w:r>
      <w:r w:rsidR="008B6050" w:rsidRPr="00CC7062">
        <w:rPr>
          <w:rFonts w:ascii="Arial" w:eastAsia="Arial" w:hAnsi="Arial" w:cs="Arial"/>
        </w:rPr>
        <w:t>be upheld</w:t>
      </w:r>
      <w:r w:rsidR="00905B55" w:rsidRPr="00CC7062">
        <w:rPr>
          <w:rFonts w:ascii="Arial" w:eastAsia="Arial" w:hAnsi="Arial" w:cs="Arial"/>
        </w:rPr>
        <w:t xml:space="preserve"> and should be further memorialized, </w:t>
      </w:r>
      <w:r w:rsidR="00A76336" w:rsidRPr="00CC7062">
        <w:rPr>
          <w:rFonts w:ascii="Arial" w:eastAsia="Arial" w:hAnsi="Arial" w:cs="Arial"/>
        </w:rPr>
        <w:t>building</w:t>
      </w:r>
      <w:r w:rsidR="00905B55" w:rsidRPr="00CC7062">
        <w:rPr>
          <w:rFonts w:ascii="Arial" w:eastAsia="Arial" w:hAnsi="Arial" w:cs="Arial"/>
        </w:rPr>
        <w:t xml:space="preserve"> upon the type of approach employed in USMCA with a properly expanded set of commonly used terms</w:t>
      </w:r>
      <w:r w:rsidR="008B6050" w:rsidRPr="00CC7062">
        <w:rPr>
          <w:rFonts w:ascii="Arial" w:eastAsia="Arial" w:hAnsi="Arial" w:cs="Arial"/>
        </w:rPr>
        <w:t xml:space="preserve">. In </w:t>
      </w:r>
      <w:r w:rsidR="00905B55" w:rsidRPr="00CC7062">
        <w:rPr>
          <w:rFonts w:ascii="Arial" w:eastAsia="Arial" w:hAnsi="Arial" w:cs="Arial"/>
        </w:rPr>
        <w:t>doing so</w:t>
      </w:r>
      <w:r w:rsidR="008B6050" w:rsidRPr="00CC7062">
        <w:rPr>
          <w:rFonts w:ascii="Arial" w:eastAsia="Arial" w:hAnsi="Arial" w:cs="Arial"/>
        </w:rPr>
        <w:t xml:space="preserve">, </w:t>
      </w:r>
      <w:r w:rsidR="00905B55" w:rsidRPr="00CC7062">
        <w:rPr>
          <w:rFonts w:ascii="Arial" w:eastAsia="Arial" w:hAnsi="Arial" w:cs="Arial"/>
        </w:rPr>
        <w:t>the U.S.</w:t>
      </w:r>
      <w:r w:rsidR="008B6050" w:rsidRPr="00CC7062">
        <w:rPr>
          <w:rFonts w:ascii="Arial" w:eastAsia="Arial" w:hAnsi="Arial" w:cs="Arial"/>
        </w:rPr>
        <w:t xml:space="preserve"> should make every effort to ensure that the full </w:t>
      </w:r>
      <w:r w:rsidR="000829E4" w:rsidRPr="00CC7062">
        <w:rPr>
          <w:rFonts w:ascii="Arial" w:eastAsia="Arial" w:hAnsi="Arial" w:cs="Arial"/>
        </w:rPr>
        <w:t xml:space="preserve">spectrum of U.S. exports to this FTA partner market </w:t>
      </w:r>
      <w:r w:rsidR="00905B55" w:rsidRPr="00CC7062">
        <w:rPr>
          <w:rFonts w:ascii="Arial" w:eastAsia="Arial" w:hAnsi="Arial" w:cs="Arial"/>
        </w:rPr>
        <w:t>is</w:t>
      </w:r>
      <w:r w:rsidR="008B6050" w:rsidRPr="00CC7062">
        <w:rPr>
          <w:rFonts w:ascii="Arial" w:eastAsia="Arial" w:hAnsi="Arial" w:cs="Arial"/>
        </w:rPr>
        <w:t xml:space="preserve"> not </w:t>
      </w:r>
      <w:r w:rsidR="00905B55" w:rsidRPr="00CC7062">
        <w:rPr>
          <w:rFonts w:ascii="Arial" w:eastAsia="Arial" w:hAnsi="Arial" w:cs="Arial"/>
        </w:rPr>
        <w:t>impaired</w:t>
      </w:r>
      <w:r w:rsidR="008B6050" w:rsidRPr="00CC7062">
        <w:rPr>
          <w:rFonts w:ascii="Arial" w:eastAsia="Arial" w:hAnsi="Arial" w:cs="Arial"/>
        </w:rPr>
        <w:t xml:space="preserve">. </w:t>
      </w:r>
    </w:p>
    <w:p w14:paraId="64F4B173" w14:textId="77777777" w:rsidR="008E27EA" w:rsidRPr="00CC7062" w:rsidRDefault="008E27EA" w:rsidP="00B7238A">
      <w:pPr>
        <w:widowControl w:val="0"/>
        <w:tabs>
          <w:tab w:val="left" w:pos="810"/>
        </w:tabs>
        <w:autoSpaceDE w:val="0"/>
        <w:autoSpaceDN w:val="0"/>
        <w:ind w:left="810" w:right="450"/>
        <w:jc w:val="both"/>
        <w:rPr>
          <w:rFonts w:ascii="Arial" w:eastAsia="Arial" w:hAnsi="Arial" w:cs="Arial"/>
        </w:rPr>
      </w:pPr>
    </w:p>
    <w:p w14:paraId="57BB55EB" w14:textId="77777777" w:rsidR="00675598" w:rsidRPr="00CC7062" w:rsidRDefault="00675598" w:rsidP="00B7238A">
      <w:pPr>
        <w:widowControl w:val="0"/>
        <w:tabs>
          <w:tab w:val="left" w:pos="810"/>
        </w:tabs>
        <w:autoSpaceDE w:val="0"/>
        <w:autoSpaceDN w:val="0"/>
        <w:ind w:left="810" w:right="450"/>
        <w:jc w:val="both"/>
        <w:rPr>
          <w:rFonts w:ascii="Arial" w:eastAsia="Arial" w:hAnsi="Arial" w:cs="Arial"/>
        </w:rPr>
      </w:pPr>
    </w:p>
    <w:p w14:paraId="1C185E58" w14:textId="476F2AEC" w:rsidR="003E7156" w:rsidRPr="00CC7062" w:rsidRDefault="003E7156"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Ecuador</w:t>
      </w:r>
    </w:p>
    <w:p w14:paraId="751F6B51" w14:textId="30584C9C" w:rsidR="003E7156" w:rsidRPr="00CC7062" w:rsidRDefault="003E7156"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w:t>
      </w:r>
      <w:r w:rsidR="00A76336" w:rsidRPr="00CC7062">
        <w:rPr>
          <w:rFonts w:ascii="Arial" w:eastAsia="Arial" w:hAnsi="Arial" w:cs="Arial"/>
        </w:rPr>
        <w:t>2017</w:t>
      </w:r>
      <w:r w:rsidRPr="00CC7062">
        <w:rPr>
          <w:rFonts w:ascii="Arial" w:eastAsia="Arial" w:hAnsi="Arial" w:cs="Arial"/>
        </w:rPr>
        <w:t xml:space="preserve">, Ecuador </w:t>
      </w:r>
      <w:r w:rsidR="00A76336" w:rsidRPr="00CC7062">
        <w:rPr>
          <w:rFonts w:ascii="Arial" w:eastAsia="Arial" w:hAnsi="Arial" w:cs="Arial"/>
        </w:rPr>
        <w:t>implemented</w:t>
      </w:r>
      <w:r w:rsidRPr="00CC7062">
        <w:rPr>
          <w:rFonts w:ascii="Arial" w:eastAsia="Arial" w:hAnsi="Arial" w:cs="Arial"/>
        </w:rPr>
        <w:t xml:space="preserve"> an FTA with the EU that included </w:t>
      </w:r>
      <w:r w:rsidR="00A76336" w:rsidRPr="00CC7062">
        <w:rPr>
          <w:rFonts w:ascii="Arial" w:eastAsia="Arial" w:hAnsi="Arial" w:cs="Arial"/>
        </w:rPr>
        <w:t xml:space="preserve">granting protection to numerous </w:t>
      </w:r>
      <w:r w:rsidRPr="00CC7062">
        <w:rPr>
          <w:rFonts w:ascii="Arial" w:eastAsia="Arial" w:hAnsi="Arial" w:cs="Arial"/>
        </w:rPr>
        <w:t>GI</w:t>
      </w:r>
      <w:r w:rsidR="00A76336" w:rsidRPr="00CC7062">
        <w:rPr>
          <w:rFonts w:ascii="Arial" w:eastAsia="Arial" w:hAnsi="Arial" w:cs="Arial"/>
        </w:rPr>
        <w:t>s requested by the EU government</w:t>
      </w:r>
      <w:r w:rsidRPr="00CC7062">
        <w:rPr>
          <w:rFonts w:ascii="Arial" w:eastAsia="Arial" w:hAnsi="Arial" w:cs="Arial"/>
        </w:rPr>
        <w:t xml:space="preserve">. As part of that agreement, Ecuador banned the import of certain commonly produced U.S. </w:t>
      </w:r>
      <w:r w:rsidR="00114F11" w:rsidRPr="00CC7062">
        <w:rPr>
          <w:rFonts w:ascii="Arial" w:eastAsia="Arial" w:hAnsi="Arial" w:cs="Arial"/>
        </w:rPr>
        <w:t>foods</w:t>
      </w:r>
      <w:r w:rsidRPr="00CC7062">
        <w:rPr>
          <w:rFonts w:ascii="Arial" w:eastAsia="Arial" w:hAnsi="Arial" w:cs="Arial"/>
        </w:rPr>
        <w:t xml:space="preserve"> if they were labeled using their common names. To ensure that the maximum possible range of U.S. products remain eligible for sale in Ecuador, we urge USTR to </w:t>
      </w:r>
      <w:r w:rsidR="00905B55" w:rsidRPr="00CC7062">
        <w:rPr>
          <w:rFonts w:ascii="Arial" w:eastAsia="Arial" w:hAnsi="Arial" w:cs="Arial"/>
        </w:rPr>
        <w:t xml:space="preserve">work </w:t>
      </w:r>
      <w:r w:rsidRPr="00CC7062">
        <w:rPr>
          <w:rFonts w:ascii="Arial" w:eastAsia="Arial" w:hAnsi="Arial" w:cs="Arial"/>
        </w:rPr>
        <w:t xml:space="preserve">with Ecuador </w:t>
      </w:r>
      <w:r w:rsidR="00905B55" w:rsidRPr="00CC7062">
        <w:rPr>
          <w:rFonts w:ascii="Arial" w:eastAsia="Arial" w:hAnsi="Arial" w:cs="Arial"/>
        </w:rPr>
        <w:t>to establish</w:t>
      </w:r>
      <w:r w:rsidRPr="00CC7062">
        <w:rPr>
          <w:rFonts w:ascii="Arial" w:eastAsia="Arial" w:hAnsi="Arial" w:cs="Arial"/>
        </w:rPr>
        <w:t xml:space="preserve"> </w:t>
      </w:r>
      <w:r w:rsidR="00905B55" w:rsidRPr="00CC7062">
        <w:rPr>
          <w:rFonts w:ascii="Arial" w:eastAsia="Arial" w:hAnsi="Arial" w:cs="Arial"/>
        </w:rPr>
        <w:t xml:space="preserve">an appropriately defined </w:t>
      </w:r>
      <w:r w:rsidRPr="00CC7062">
        <w:rPr>
          <w:rFonts w:ascii="Arial" w:eastAsia="Arial" w:hAnsi="Arial" w:cs="Arial"/>
        </w:rPr>
        <w:t xml:space="preserve">scope </w:t>
      </w:r>
      <w:r w:rsidRPr="00CC7062">
        <w:rPr>
          <w:rFonts w:ascii="Arial" w:eastAsia="Arial" w:hAnsi="Arial" w:cs="Arial"/>
        </w:rPr>
        <w:lastRenderedPageBreak/>
        <w:t>of protection for multi-term GIs</w:t>
      </w:r>
      <w:r w:rsidR="00905B55" w:rsidRPr="00CC7062">
        <w:rPr>
          <w:rFonts w:ascii="Arial" w:eastAsia="Arial" w:hAnsi="Arial" w:cs="Arial"/>
        </w:rPr>
        <w:t xml:space="preserve"> that preserves the maximum range of market access to this market</w:t>
      </w:r>
      <w:r w:rsidRPr="00CC7062">
        <w:rPr>
          <w:rFonts w:ascii="Arial" w:eastAsia="Arial" w:hAnsi="Arial" w:cs="Arial"/>
        </w:rPr>
        <w:t xml:space="preserve">. </w:t>
      </w:r>
    </w:p>
    <w:p w14:paraId="467FBAB6" w14:textId="77777777" w:rsidR="00A76336" w:rsidRPr="00CC7062" w:rsidRDefault="00A76336" w:rsidP="00B7238A">
      <w:pPr>
        <w:widowControl w:val="0"/>
        <w:tabs>
          <w:tab w:val="left" w:pos="810"/>
        </w:tabs>
        <w:autoSpaceDE w:val="0"/>
        <w:autoSpaceDN w:val="0"/>
        <w:ind w:left="810" w:right="450"/>
        <w:jc w:val="both"/>
        <w:rPr>
          <w:rFonts w:ascii="Arial" w:eastAsia="Arial" w:hAnsi="Arial" w:cs="Arial"/>
          <w:bCs/>
        </w:rPr>
      </w:pPr>
    </w:p>
    <w:p w14:paraId="7BD8B3E6" w14:textId="77777777" w:rsidR="003E7156" w:rsidRPr="00CC7062" w:rsidRDefault="003E7156" w:rsidP="00B7238A">
      <w:pPr>
        <w:widowControl w:val="0"/>
        <w:tabs>
          <w:tab w:val="left" w:pos="810"/>
        </w:tabs>
        <w:autoSpaceDE w:val="0"/>
        <w:autoSpaceDN w:val="0"/>
        <w:ind w:left="810" w:right="450"/>
        <w:jc w:val="both"/>
        <w:outlineLvl w:val="0"/>
        <w:rPr>
          <w:rFonts w:ascii="Arial" w:eastAsia="Arial" w:hAnsi="Arial" w:cs="Arial"/>
          <w:b/>
          <w:bCs/>
        </w:rPr>
      </w:pPr>
    </w:p>
    <w:p w14:paraId="48DC05D7" w14:textId="0E66E2D3" w:rsidR="00675598" w:rsidRPr="00CC7062" w:rsidRDefault="00226A8A"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Europe</w:t>
      </w:r>
    </w:p>
    <w:p w14:paraId="47D02B59" w14:textId="3EFB375F" w:rsidR="008E27EA"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addition to driving the escalating threat of nontariff barriers to U.S. products world-wide, the EU also continues to </w:t>
      </w:r>
      <w:r w:rsidR="00A76336" w:rsidRPr="00CC7062">
        <w:rPr>
          <w:rFonts w:ascii="Arial" w:eastAsia="Arial" w:hAnsi="Arial" w:cs="Arial"/>
        </w:rPr>
        <w:t>promulgate</w:t>
      </w:r>
      <w:r w:rsidRPr="00CC7062">
        <w:rPr>
          <w:rFonts w:ascii="Arial" w:eastAsia="Arial" w:hAnsi="Arial" w:cs="Arial"/>
        </w:rPr>
        <w:t xml:space="preserve"> new restrictions on the use of common food </w:t>
      </w:r>
      <w:r w:rsidR="00A76336" w:rsidRPr="00CC7062">
        <w:rPr>
          <w:rFonts w:ascii="Arial" w:eastAsia="Arial" w:hAnsi="Arial" w:cs="Arial"/>
        </w:rPr>
        <w:t>and beverage terms</w:t>
      </w:r>
      <w:r w:rsidRPr="00CC7062">
        <w:rPr>
          <w:rFonts w:ascii="Arial" w:eastAsia="Arial" w:hAnsi="Arial" w:cs="Arial"/>
        </w:rPr>
        <w:t xml:space="preserve"> within its borders</w:t>
      </w:r>
      <w:r w:rsidR="00A76336" w:rsidRPr="00CC7062">
        <w:rPr>
          <w:rFonts w:ascii="Arial" w:eastAsia="Arial" w:hAnsi="Arial" w:cs="Arial"/>
        </w:rPr>
        <w:t>.</w:t>
      </w:r>
    </w:p>
    <w:p w14:paraId="00741F4E" w14:textId="77777777" w:rsidR="008E27EA" w:rsidRPr="00CC7062" w:rsidRDefault="008E27EA" w:rsidP="00B7238A">
      <w:pPr>
        <w:widowControl w:val="0"/>
        <w:tabs>
          <w:tab w:val="left" w:pos="810"/>
        </w:tabs>
        <w:autoSpaceDE w:val="0"/>
        <w:autoSpaceDN w:val="0"/>
        <w:ind w:left="810" w:right="450"/>
        <w:jc w:val="both"/>
        <w:rPr>
          <w:rFonts w:ascii="Arial" w:eastAsia="Arial" w:hAnsi="Arial" w:cs="Arial"/>
        </w:rPr>
      </w:pPr>
    </w:p>
    <w:p w14:paraId="3257C9E6" w14:textId="7C467896" w:rsidR="008E27EA" w:rsidRPr="00CC7062" w:rsidRDefault="00E430A2" w:rsidP="00DA2DFD">
      <w:pPr>
        <w:widowControl w:val="0"/>
        <w:tabs>
          <w:tab w:val="left" w:pos="810"/>
        </w:tabs>
        <w:autoSpaceDE w:val="0"/>
        <w:autoSpaceDN w:val="0"/>
        <w:ind w:left="810" w:right="450"/>
        <w:jc w:val="both"/>
        <w:rPr>
          <w:rFonts w:ascii="Arial" w:eastAsia="Arial" w:hAnsi="Arial" w:cs="Arial"/>
        </w:rPr>
      </w:pPr>
      <w:r w:rsidRPr="00CC7062">
        <w:rPr>
          <w:rFonts w:ascii="Arial" w:hAnsi="Arial" w:cs="Arial"/>
        </w:rPr>
        <w:t xml:space="preserve">The EU continues to expand its list of GIs, </w:t>
      </w:r>
      <w:r w:rsidR="00DA2DFD" w:rsidRPr="00CC7062">
        <w:rPr>
          <w:rFonts w:ascii="Arial" w:hAnsi="Arial" w:cs="Arial"/>
        </w:rPr>
        <w:t xml:space="preserve">in the past few years having even registered GIs for terms that are internationally standardized, thereby undermining the standards it, the US and so many other countries worked so hard to establish. Even as it does so, the EU continues to refuse to issue an illustrative list of common terms nor to provide clarity at the initial application stage regarding the scope of protection of each GI. A relevant example is a multi-term GI recently approved that included the term “mozzarella”; CCFN was forced to engage in the opposition process to secure confirmation that the GI would not restrict the generic use of “mozzarella” – a step that could and should have been fulfilled by the EU during its review of the application to provide sufficient clarity to the marketplace. </w:t>
      </w:r>
    </w:p>
    <w:p w14:paraId="0A718D6E" w14:textId="036C6D19" w:rsidR="008E27EA" w:rsidRPr="00CC7062" w:rsidRDefault="008E27EA" w:rsidP="00B7238A">
      <w:pPr>
        <w:widowControl w:val="0"/>
        <w:tabs>
          <w:tab w:val="left" w:pos="810"/>
        </w:tabs>
        <w:autoSpaceDE w:val="0"/>
        <w:autoSpaceDN w:val="0"/>
        <w:ind w:left="810" w:right="450"/>
        <w:jc w:val="both"/>
        <w:rPr>
          <w:rFonts w:ascii="Arial" w:eastAsia="Arial" w:hAnsi="Arial" w:cs="Arial"/>
        </w:rPr>
      </w:pPr>
    </w:p>
    <w:p w14:paraId="793E2B89" w14:textId="6F31115E" w:rsidR="00DA2DFD" w:rsidRPr="00CC7062" w:rsidRDefault="00DA2DFD" w:rsidP="00DA2DFD">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Beyond these persistent problems, the EU continues to advance additional policy changes to its GI and related “quality program” regulations. We are deeply concerned that these proposals will make a bad situation even worse by: </w:t>
      </w:r>
    </w:p>
    <w:p w14:paraId="78FAF6BF" w14:textId="20A9BB65" w:rsidR="008364BD" w:rsidRPr="00CC7062" w:rsidRDefault="008364BD" w:rsidP="00DA2DFD">
      <w:pPr>
        <w:pStyle w:val="ListParagraph"/>
        <w:widowControl w:val="0"/>
        <w:numPr>
          <w:ilvl w:val="0"/>
          <w:numId w:val="33"/>
        </w:numPr>
        <w:tabs>
          <w:tab w:val="left" w:pos="810"/>
        </w:tabs>
        <w:autoSpaceDE w:val="0"/>
        <w:autoSpaceDN w:val="0"/>
        <w:ind w:right="450"/>
        <w:jc w:val="both"/>
        <w:rPr>
          <w:rFonts w:ascii="Arial" w:eastAsia="Arial" w:hAnsi="Arial" w:cs="Arial"/>
        </w:rPr>
      </w:pPr>
      <w:r w:rsidRPr="00CC7062">
        <w:rPr>
          <w:rFonts w:ascii="Arial" w:eastAsia="Arial" w:hAnsi="Arial" w:cs="Arial"/>
        </w:rPr>
        <w:t>Loosen</w:t>
      </w:r>
      <w:r w:rsidR="00DA2DFD" w:rsidRPr="00CC7062">
        <w:rPr>
          <w:rFonts w:ascii="Arial" w:eastAsia="Arial" w:hAnsi="Arial" w:cs="Arial"/>
        </w:rPr>
        <w:t>ing</w:t>
      </w:r>
      <w:r w:rsidRPr="00CC7062">
        <w:rPr>
          <w:rFonts w:ascii="Arial" w:eastAsia="Arial" w:hAnsi="Arial" w:cs="Arial"/>
        </w:rPr>
        <w:t xml:space="preserve"> evidentiary requirements regarding the historic origination of the </w:t>
      </w:r>
      <w:proofErr w:type="gramStart"/>
      <w:r w:rsidRPr="00CC7062">
        <w:rPr>
          <w:rFonts w:ascii="Arial" w:eastAsia="Arial" w:hAnsi="Arial" w:cs="Arial"/>
        </w:rPr>
        <w:t>product</w:t>
      </w:r>
      <w:r w:rsidR="00C34D75" w:rsidRPr="00CC7062">
        <w:rPr>
          <w:rFonts w:ascii="Arial" w:eastAsia="Arial" w:hAnsi="Arial" w:cs="Arial"/>
        </w:rPr>
        <w:t>;</w:t>
      </w:r>
      <w:proofErr w:type="gramEnd"/>
      <w:r w:rsidRPr="00CC7062">
        <w:rPr>
          <w:rFonts w:ascii="Arial" w:eastAsia="Arial" w:hAnsi="Arial" w:cs="Arial"/>
        </w:rPr>
        <w:t xml:space="preserve"> </w:t>
      </w:r>
    </w:p>
    <w:p w14:paraId="726EF076" w14:textId="589E127E" w:rsidR="008364BD" w:rsidRPr="00CC7062" w:rsidRDefault="008364BD"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Expand</w:t>
      </w:r>
      <w:r w:rsidR="00DA2DFD" w:rsidRPr="00CC7062">
        <w:rPr>
          <w:rFonts w:ascii="Arial" w:eastAsia="Arial" w:hAnsi="Arial" w:cs="Arial"/>
        </w:rPr>
        <w:t>ing</w:t>
      </w:r>
      <w:r w:rsidRPr="00CC7062">
        <w:rPr>
          <w:rFonts w:ascii="Arial" w:eastAsia="Arial" w:hAnsi="Arial" w:cs="Arial"/>
        </w:rPr>
        <w:t xml:space="preserve"> member states’ authority in deciding if a GI application is eligible for protection and in amending GI specifications, thereby magnifying the likelihood of commerce challenges across the EU’s common market as well as with trading </w:t>
      </w:r>
      <w:proofErr w:type="gramStart"/>
      <w:r w:rsidRPr="00CC7062">
        <w:rPr>
          <w:rFonts w:ascii="Arial" w:eastAsia="Arial" w:hAnsi="Arial" w:cs="Arial"/>
        </w:rPr>
        <w:t>partners;</w:t>
      </w:r>
      <w:proofErr w:type="gramEnd"/>
      <w:r w:rsidRPr="00CC7062">
        <w:rPr>
          <w:rFonts w:ascii="Arial" w:eastAsia="Arial" w:hAnsi="Arial" w:cs="Arial"/>
        </w:rPr>
        <w:t xml:space="preserve">  </w:t>
      </w:r>
    </w:p>
    <w:p w14:paraId="1C764142" w14:textId="114FFCDC" w:rsidR="008364BD" w:rsidRPr="00CC7062" w:rsidRDefault="008364BD"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Shorten</w:t>
      </w:r>
      <w:r w:rsidR="00DA2DFD" w:rsidRPr="00CC7062">
        <w:rPr>
          <w:rFonts w:ascii="Arial" w:eastAsia="Arial" w:hAnsi="Arial" w:cs="Arial"/>
        </w:rPr>
        <w:t>ing</w:t>
      </w:r>
      <w:r w:rsidRPr="00CC7062">
        <w:rPr>
          <w:rFonts w:ascii="Arial" w:eastAsia="Arial" w:hAnsi="Arial" w:cs="Arial"/>
        </w:rPr>
        <w:t xml:space="preserve"> the opposition deadline to respond to GI </w:t>
      </w:r>
      <w:proofErr w:type="gramStart"/>
      <w:r w:rsidRPr="00CC7062">
        <w:rPr>
          <w:rFonts w:ascii="Arial" w:eastAsia="Arial" w:hAnsi="Arial" w:cs="Arial"/>
        </w:rPr>
        <w:t>applications;</w:t>
      </w:r>
      <w:proofErr w:type="gramEnd"/>
      <w:r w:rsidRPr="00CC7062">
        <w:rPr>
          <w:rFonts w:ascii="Arial" w:eastAsia="Arial" w:hAnsi="Arial" w:cs="Arial"/>
        </w:rPr>
        <w:t xml:space="preserve"> </w:t>
      </w:r>
    </w:p>
    <w:p w14:paraId="42A2AF7D" w14:textId="507E9430" w:rsidR="00C34D75" w:rsidRPr="00CC7062" w:rsidRDefault="008364BD"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Expand</w:t>
      </w:r>
      <w:r w:rsidR="00DA2DFD" w:rsidRPr="00CC7062">
        <w:rPr>
          <w:rFonts w:ascii="Arial" w:eastAsia="Arial" w:hAnsi="Arial" w:cs="Arial"/>
        </w:rPr>
        <w:t>ing</w:t>
      </w:r>
      <w:r w:rsidRPr="00CC7062">
        <w:rPr>
          <w:rFonts w:ascii="Arial" w:eastAsia="Arial" w:hAnsi="Arial" w:cs="Arial"/>
        </w:rPr>
        <w:t xml:space="preserve"> the scope of protection </w:t>
      </w:r>
      <w:r w:rsidR="00DA2DFD" w:rsidRPr="00CC7062">
        <w:rPr>
          <w:rFonts w:ascii="Arial" w:eastAsia="Arial" w:hAnsi="Arial" w:cs="Arial"/>
        </w:rPr>
        <w:t>granted</w:t>
      </w:r>
      <w:r w:rsidR="00C34D75" w:rsidRPr="00CC7062">
        <w:rPr>
          <w:rFonts w:ascii="Arial" w:eastAsia="Arial" w:hAnsi="Arial" w:cs="Arial"/>
        </w:rPr>
        <w:t xml:space="preserve">; and </w:t>
      </w:r>
    </w:p>
    <w:p w14:paraId="39C988C2" w14:textId="099F831C" w:rsidR="00C34D75" w:rsidRPr="00CC7062" w:rsidRDefault="00C34D75"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Continu</w:t>
      </w:r>
      <w:r w:rsidR="00DA2DFD" w:rsidRPr="00CC7062">
        <w:rPr>
          <w:rFonts w:ascii="Arial" w:eastAsia="Arial" w:hAnsi="Arial" w:cs="Arial"/>
        </w:rPr>
        <w:t>ing</w:t>
      </w:r>
      <w:r w:rsidRPr="00CC7062">
        <w:rPr>
          <w:rFonts w:ascii="Arial" w:eastAsia="Arial" w:hAnsi="Arial" w:cs="Arial"/>
        </w:rPr>
        <w:t xml:space="preserve"> the </w:t>
      </w:r>
      <w:r w:rsidR="00DA2DFD" w:rsidRPr="00CC7062">
        <w:rPr>
          <w:rFonts w:ascii="Arial" w:eastAsia="Arial" w:hAnsi="Arial" w:cs="Arial"/>
        </w:rPr>
        <w:t xml:space="preserve">glaring </w:t>
      </w:r>
      <w:r w:rsidRPr="00CC7062">
        <w:rPr>
          <w:rFonts w:ascii="Arial" w:eastAsia="Arial" w:hAnsi="Arial" w:cs="Arial"/>
        </w:rPr>
        <w:t>absence of a list of names that the EU considers to be generic and of objective criteria to determine what constitutes a generic name.</w:t>
      </w:r>
    </w:p>
    <w:p w14:paraId="07A44353" w14:textId="01A1DDE0" w:rsidR="008E27EA" w:rsidRPr="00CC7062" w:rsidRDefault="008E27EA" w:rsidP="00B7238A">
      <w:pPr>
        <w:pStyle w:val="ListParagraph"/>
        <w:widowControl w:val="0"/>
        <w:tabs>
          <w:tab w:val="left" w:pos="810"/>
        </w:tabs>
        <w:autoSpaceDE w:val="0"/>
        <w:autoSpaceDN w:val="0"/>
        <w:ind w:left="1530" w:right="450"/>
        <w:jc w:val="both"/>
        <w:rPr>
          <w:rFonts w:ascii="Arial" w:eastAsia="Arial" w:hAnsi="Arial" w:cs="Arial"/>
        </w:rPr>
      </w:pPr>
    </w:p>
    <w:p w14:paraId="6DF10A4E" w14:textId="030F5F3F" w:rsidR="00711833" w:rsidRPr="00CC7062" w:rsidRDefault="00DA2DFD"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On a related front, we reiterate our long-standing concerns regarding the EU’s abusive restrictions of commonly used wine-making terms. </w:t>
      </w:r>
      <w:r w:rsidR="00993A8C" w:rsidRPr="00CC7062">
        <w:rPr>
          <w:rFonts w:ascii="Arial" w:eastAsia="Arial" w:hAnsi="Arial" w:cs="Arial"/>
        </w:rPr>
        <w:t xml:space="preserve">Certain </w:t>
      </w:r>
      <w:r w:rsidR="00711833" w:rsidRPr="00CC7062">
        <w:rPr>
          <w:rFonts w:ascii="Arial" w:eastAsia="Arial" w:hAnsi="Arial" w:cs="Arial"/>
        </w:rPr>
        <w:t>U.S. winemakers are prohibited from using common descriptive terms related to winemaking on wines exported to the EU. The terms used on U.S. wines which are prohibited in the EU are not associated with a specific place or GI, such as Bordeaux or Napa Valley. Rather, they are common nouns and adjectives used to describe the wine.  These so-called “traditional” terms include “chateau,” “clos,” “ruby,” “tawny,” “crusted/crusting,” “noble,” “ruby,” “superior,” “sur lie,” “tawny” and “vintage/vintage character.”</w:t>
      </w:r>
    </w:p>
    <w:p w14:paraId="53254487"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57C2C1FD" w14:textId="6A7121A0"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As part of the “Agreement between the United States of America and the European Community on Trade in Wine,” signed in 2006, the EU granted U.S. winemakers a derogation </w:t>
      </w:r>
      <w:r w:rsidR="00010970" w:rsidRPr="00CC7062">
        <w:rPr>
          <w:rFonts w:ascii="Arial" w:eastAsia="Arial" w:hAnsi="Arial" w:cs="Arial"/>
        </w:rPr>
        <w:t xml:space="preserve">to continue to use </w:t>
      </w:r>
      <w:r w:rsidRPr="00CC7062">
        <w:rPr>
          <w:rFonts w:ascii="Arial" w:eastAsia="Arial" w:hAnsi="Arial" w:cs="Arial"/>
        </w:rPr>
        <w:t xml:space="preserve">common terms in question for three years. Although there was an understanding that, at the end of the three-year period, the EU would renew the </w:t>
      </w:r>
      <w:proofErr w:type="gramStart"/>
      <w:r w:rsidRPr="00CC7062">
        <w:rPr>
          <w:rFonts w:ascii="Arial" w:eastAsia="Arial" w:hAnsi="Arial" w:cs="Arial"/>
        </w:rPr>
        <w:t>derogation</w:t>
      </w:r>
      <w:proofErr w:type="gramEnd"/>
      <w:r w:rsidR="00B3282D" w:rsidRPr="00CC7062">
        <w:rPr>
          <w:rFonts w:ascii="Arial" w:eastAsia="Arial" w:hAnsi="Arial" w:cs="Arial"/>
        </w:rPr>
        <w:t xml:space="preserve"> but the</w:t>
      </w:r>
      <w:r w:rsidRPr="00CC7062">
        <w:rPr>
          <w:rFonts w:ascii="Arial" w:eastAsia="Arial" w:hAnsi="Arial" w:cs="Arial"/>
        </w:rPr>
        <w:t xml:space="preserve"> renewal was never granted.  Consequently, in 2010, the U.S. wine industry submitted applications to the EU for approval of 13 terms, with definitions provided for each term as required by the EU. In 2012, the EU approved the applications for “classic” and “cream.” Now, however, </w:t>
      </w:r>
      <w:r w:rsidR="00C34D75" w:rsidRPr="00CC7062">
        <w:rPr>
          <w:rFonts w:ascii="Arial" w:eastAsia="Arial" w:hAnsi="Arial" w:cs="Arial"/>
        </w:rPr>
        <w:t xml:space="preserve">numerous </w:t>
      </w:r>
      <w:r w:rsidRPr="00CC7062">
        <w:rPr>
          <w:rFonts w:ascii="Arial" w:eastAsia="Arial" w:hAnsi="Arial" w:cs="Arial"/>
        </w:rPr>
        <w:t xml:space="preserve">years after the applications were submitted, the EU has failed to respond to any of the 11 remaining </w:t>
      </w:r>
      <w:r w:rsidRPr="00CC7062">
        <w:rPr>
          <w:rFonts w:ascii="Arial" w:eastAsia="Arial" w:hAnsi="Arial" w:cs="Arial"/>
        </w:rPr>
        <w:lastRenderedPageBreak/>
        <w:t xml:space="preserve">applications. </w:t>
      </w:r>
    </w:p>
    <w:p w14:paraId="6598E3AB"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3B05381C" w14:textId="0AA0A1B2"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EU's refusal to process these 11 applications prevents U.S. wineries from using the terms in question on wine labels or even in company names when filing for trademark </w:t>
      </w:r>
      <w:proofErr w:type="gramStart"/>
      <w:r w:rsidRPr="00CC7062">
        <w:rPr>
          <w:rFonts w:ascii="Arial" w:eastAsia="Arial" w:hAnsi="Arial" w:cs="Arial"/>
        </w:rPr>
        <w:t>protection, unless</w:t>
      </w:r>
      <w:proofErr w:type="gramEnd"/>
      <w:r w:rsidRPr="00CC7062">
        <w:rPr>
          <w:rFonts w:ascii="Arial" w:eastAsia="Arial" w:hAnsi="Arial" w:cs="Arial"/>
        </w:rPr>
        <w:t xml:space="preserve"> the term's use pre-dates the 2006 agreement. Regulation EC 207/2009, Section 2, Article 4(j) of EU Directive 2015/2436 on trademarks, protects traditional terms for wine, giving the use of the terms by a third country without an agreement or an approved application, absolute grounds for refusal of a trademark application. Therefore, any U.S. winery that </w:t>
      </w:r>
      <w:r w:rsidR="00993A8C" w:rsidRPr="00CC7062">
        <w:rPr>
          <w:rFonts w:ascii="Arial" w:eastAsia="Arial" w:hAnsi="Arial" w:cs="Arial"/>
        </w:rPr>
        <w:t xml:space="preserve">newly </w:t>
      </w:r>
      <w:r w:rsidRPr="00CC7062">
        <w:rPr>
          <w:rFonts w:ascii="Arial" w:eastAsia="Arial" w:hAnsi="Arial" w:cs="Arial"/>
        </w:rPr>
        <w:t>uses such a term cannot export its wine to the important European market.</w:t>
      </w:r>
      <w:r w:rsidR="00C34D75" w:rsidRPr="00CC7062">
        <w:rPr>
          <w:rFonts w:ascii="Arial" w:eastAsia="Arial" w:hAnsi="Arial" w:cs="Arial"/>
        </w:rPr>
        <w:t xml:space="preserve"> </w:t>
      </w:r>
      <w:r w:rsidRPr="00CC7062">
        <w:rPr>
          <w:rFonts w:ascii="Arial" w:eastAsia="Arial" w:hAnsi="Arial" w:cs="Arial"/>
        </w:rPr>
        <w:t xml:space="preserve">CCFN strongly objects to the EU's unreasonable refusal to process the remaining applications. </w:t>
      </w:r>
    </w:p>
    <w:p w14:paraId="52464C85"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6992C44D" w14:textId="1CC9DB5F"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Over the past </w:t>
      </w:r>
      <w:r w:rsidR="00BE7134" w:rsidRPr="00CC7062">
        <w:rPr>
          <w:rFonts w:ascii="Arial" w:eastAsia="Arial" w:hAnsi="Arial" w:cs="Arial"/>
        </w:rPr>
        <w:t>few</w:t>
      </w:r>
      <w:r w:rsidRPr="00CC7062">
        <w:rPr>
          <w:rFonts w:ascii="Arial" w:eastAsia="Arial" w:hAnsi="Arial" w:cs="Arial"/>
        </w:rPr>
        <w:t xml:space="preserve"> years, the European Commission, has continued to stall the application approval process by engaging in a supposed review of EU traditional term wine regulations, including Commission Regulation (EC) No 607/2009 laying down certain detailed rules for the implementation of Council Regulation (EC) No. 479/2008, </w:t>
      </w:r>
      <w:proofErr w:type="gramStart"/>
      <w:r w:rsidRPr="00CC7062">
        <w:rPr>
          <w:rFonts w:ascii="Arial" w:eastAsia="Arial" w:hAnsi="Arial" w:cs="Arial"/>
        </w:rPr>
        <w:t>in order to</w:t>
      </w:r>
      <w:proofErr w:type="gramEnd"/>
      <w:r w:rsidRPr="00CC7062">
        <w:rPr>
          <w:rFonts w:ascii="Arial" w:eastAsia="Arial" w:hAnsi="Arial" w:cs="Arial"/>
        </w:rPr>
        <w:t xml:space="preserve"> "simplify" the traditional terms application and approval process.  </w:t>
      </w:r>
    </w:p>
    <w:p w14:paraId="0D423162"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01111B3A" w14:textId="2C2FA3BF"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U.S. wine industry has sought to play a constructive role in this process, seeking more transparency from European officials. However, to date the EU has failed to adopt a clear and transparent approach to the process, including notification of issues and claims that delay or prevent a prompt decision.  </w:t>
      </w:r>
    </w:p>
    <w:p w14:paraId="084E23BD"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38BDCED2" w14:textId="7E27ED76"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Applicants continue to be prevented from reviewing and responding to written objections submitted by Members </w:t>
      </w:r>
      <w:r w:rsidR="00BE7134" w:rsidRPr="00CC7062">
        <w:rPr>
          <w:rFonts w:ascii="Arial" w:eastAsia="Arial" w:hAnsi="Arial" w:cs="Arial"/>
        </w:rPr>
        <w:t xml:space="preserve">States and other stakeholders. </w:t>
      </w:r>
      <w:r w:rsidRPr="00CC7062">
        <w:rPr>
          <w:rFonts w:ascii="Arial" w:eastAsia="Arial" w:hAnsi="Arial" w:cs="Arial"/>
        </w:rPr>
        <w:t xml:space="preserve">In addition, the EU has refused to amend its notification and objection procedures to allow those who have made prior use of a term in the EU the opportunity to object or register their own usage of the same term. </w:t>
      </w:r>
    </w:p>
    <w:p w14:paraId="64B4265E"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6E30BEA9" w14:textId="77777777" w:rsidR="00711833" w:rsidRPr="00CC7062" w:rsidRDefault="00711833" w:rsidP="00DA2DFD">
      <w:pPr>
        <w:pStyle w:val="ListParagraph"/>
        <w:widowControl w:val="0"/>
        <w:numPr>
          <w:ilvl w:val="0"/>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Commission has also failed to revise its regulations to ensure use of legitimate descriptive terms without the need to go through a cumbersome and unnecessary registration process that creates cost and uncertainty for both regulators and industry, by:   </w:t>
      </w:r>
    </w:p>
    <w:p w14:paraId="5F0F436B" w14:textId="77777777" w:rsidR="00711833" w:rsidRPr="00CC7062" w:rsidRDefault="00711833" w:rsidP="00DA2DFD">
      <w:pPr>
        <w:pStyle w:val="ListParagraph"/>
        <w:widowControl w:val="0"/>
        <w:numPr>
          <w:ilvl w:val="1"/>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Broadening the definition of what is considered “generic” in the </w:t>
      </w:r>
      <w:proofErr w:type="gramStart"/>
      <w:r w:rsidRPr="00CC7062">
        <w:rPr>
          <w:rFonts w:ascii="Arial" w:eastAsia="Arial" w:hAnsi="Arial" w:cs="Arial"/>
        </w:rPr>
        <w:t>legislation;</w:t>
      </w:r>
      <w:proofErr w:type="gramEnd"/>
    </w:p>
    <w:p w14:paraId="679A3A9B" w14:textId="77777777" w:rsidR="00711833" w:rsidRPr="00CC7062" w:rsidRDefault="00711833" w:rsidP="00DA2DFD">
      <w:pPr>
        <w:pStyle w:val="ListParagraph"/>
        <w:widowControl w:val="0"/>
        <w:numPr>
          <w:ilvl w:val="1"/>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Limiting the high level (Article 40(2)) protection of traditional terms to wines from the country seeking protection only – uses by other countries would therefore only be prohibited where this could be shown to be </w:t>
      </w:r>
      <w:proofErr w:type="gramStart"/>
      <w:r w:rsidRPr="00CC7062">
        <w:rPr>
          <w:rFonts w:ascii="Arial" w:eastAsia="Arial" w:hAnsi="Arial" w:cs="Arial"/>
        </w:rPr>
        <w:t>actually misleading</w:t>
      </w:r>
      <w:proofErr w:type="gramEnd"/>
      <w:r w:rsidRPr="00CC7062">
        <w:rPr>
          <w:rFonts w:ascii="Arial" w:eastAsia="Arial" w:hAnsi="Arial" w:cs="Arial"/>
        </w:rPr>
        <w:t xml:space="preserve"> or deceptive; and</w:t>
      </w:r>
    </w:p>
    <w:p w14:paraId="22C74B3D" w14:textId="77777777" w:rsidR="00711833" w:rsidRPr="00CC7062" w:rsidRDefault="00711833" w:rsidP="00DA2DFD">
      <w:pPr>
        <w:pStyle w:val="ListParagraph"/>
        <w:widowControl w:val="0"/>
        <w:numPr>
          <w:ilvl w:val="1"/>
          <w:numId w:val="34"/>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Developing a non-protected list of descriptive terms of third countries that may continue to be used by those countries in the EU, including in co-existence with registered traditional terms. </w:t>
      </w:r>
    </w:p>
    <w:p w14:paraId="529E3176" w14:textId="77777777" w:rsidR="00711833" w:rsidRPr="00CC7062" w:rsidRDefault="00711833" w:rsidP="00B7238A">
      <w:pPr>
        <w:widowControl w:val="0"/>
        <w:tabs>
          <w:tab w:val="left" w:pos="810"/>
        </w:tabs>
        <w:autoSpaceDE w:val="0"/>
        <w:autoSpaceDN w:val="0"/>
        <w:ind w:left="810" w:right="450"/>
        <w:jc w:val="both"/>
        <w:rPr>
          <w:rFonts w:ascii="Arial" w:eastAsia="Arial" w:hAnsi="Arial" w:cs="Arial"/>
        </w:rPr>
      </w:pPr>
    </w:p>
    <w:p w14:paraId="19DC4E97" w14:textId="77777777" w:rsidR="00711833" w:rsidRPr="00CC7062" w:rsidRDefault="00711833" w:rsidP="00DA2DFD">
      <w:pPr>
        <w:pStyle w:val="ListParagraph"/>
        <w:widowControl w:val="0"/>
        <w:numPr>
          <w:ilvl w:val="0"/>
          <w:numId w:val="35"/>
        </w:numPr>
        <w:autoSpaceDE w:val="0"/>
        <w:autoSpaceDN w:val="0"/>
        <w:ind w:right="450"/>
        <w:jc w:val="both"/>
        <w:rPr>
          <w:rFonts w:ascii="Arial" w:eastAsia="Arial" w:hAnsi="Arial" w:cs="Arial"/>
        </w:rPr>
      </w:pPr>
      <w:r w:rsidRPr="00CC7062">
        <w:rPr>
          <w:rFonts w:ascii="Arial" w:eastAsia="Arial" w:hAnsi="Arial" w:cs="Arial"/>
        </w:rPr>
        <w:t xml:space="preserve">Finally, in violation of its National Treatment obligations and basic principles of good regulation, with respect to traditional terms the EU has apparently failed to utilize the same regulatory process and criteria for applications from Member States that it uses for those submitted by third countries. </w:t>
      </w:r>
    </w:p>
    <w:p w14:paraId="33BFBEB6" w14:textId="77777777" w:rsidR="00711833" w:rsidRPr="00CC7062" w:rsidRDefault="00711833" w:rsidP="00B7238A">
      <w:pPr>
        <w:widowControl w:val="0"/>
        <w:tabs>
          <w:tab w:val="left" w:pos="810"/>
        </w:tabs>
        <w:autoSpaceDE w:val="0"/>
        <w:autoSpaceDN w:val="0"/>
        <w:ind w:left="1440" w:right="450"/>
        <w:jc w:val="both"/>
        <w:rPr>
          <w:rFonts w:ascii="Arial" w:eastAsia="Arial" w:hAnsi="Arial" w:cs="Arial"/>
        </w:rPr>
      </w:pPr>
    </w:p>
    <w:p w14:paraId="689DAE21" w14:textId="77777777" w:rsidR="00805153" w:rsidRPr="00CC7062" w:rsidRDefault="00DA2DFD" w:rsidP="00805153">
      <w:pPr>
        <w:widowControl w:val="0"/>
        <w:tabs>
          <w:tab w:val="left" w:pos="810"/>
        </w:tabs>
        <w:autoSpaceDE w:val="0"/>
        <w:autoSpaceDN w:val="0"/>
        <w:ind w:left="810" w:right="450"/>
        <w:jc w:val="both"/>
        <w:rPr>
          <w:rFonts w:ascii="Arial" w:hAnsi="Arial" w:cs="Arial"/>
        </w:rPr>
      </w:pPr>
      <w:r w:rsidRPr="00CC7062">
        <w:rPr>
          <w:rFonts w:ascii="Arial" w:hAnsi="Arial" w:cs="Arial"/>
        </w:rPr>
        <w:t>Likewise, w</w:t>
      </w:r>
      <w:r w:rsidR="00BE7134" w:rsidRPr="00CC7062">
        <w:rPr>
          <w:rFonts w:ascii="Arial" w:hAnsi="Arial" w:cs="Arial"/>
        </w:rPr>
        <w:t>e remain concerned about how the</w:t>
      </w:r>
      <w:r w:rsidR="00805153" w:rsidRPr="00CC7062">
        <w:rPr>
          <w:rFonts w:ascii="Arial" w:hAnsi="Arial" w:cs="Arial"/>
        </w:rPr>
        <w:t xml:space="preserve"> Traditional Specialty Guarantee (</w:t>
      </w:r>
      <w:r w:rsidR="00BE7134" w:rsidRPr="00CC7062">
        <w:rPr>
          <w:rFonts w:ascii="Arial" w:hAnsi="Arial" w:cs="Arial"/>
        </w:rPr>
        <w:t>TSG</w:t>
      </w:r>
      <w:r w:rsidR="00805153" w:rsidRPr="00CC7062">
        <w:rPr>
          <w:rFonts w:ascii="Arial" w:hAnsi="Arial" w:cs="Arial"/>
        </w:rPr>
        <w:t>)</w:t>
      </w:r>
      <w:r w:rsidR="00BE7134" w:rsidRPr="00CC7062">
        <w:rPr>
          <w:rFonts w:ascii="Arial" w:hAnsi="Arial" w:cs="Arial"/>
        </w:rPr>
        <w:t xml:space="preserve"> program may be abused by the EU moving forward</w:t>
      </w:r>
      <w:r w:rsidR="00805153" w:rsidRPr="00CC7062">
        <w:rPr>
          <w:rFonts w:ascii="Arial" w:hAnsi="Arial" w:cs="Arial"/>
        </w:rPr>
        <w:t xml:space="preserve">. </w:t>
      </w:r>
      <w:r w:rsidR="005F0C6B" w:rsidRPr="00CC7062">
        <w:rPr>
          <w:rFonts w:ascii="Arial" w:hAnsi="Arial" w:cs="Arial"/>
        </w:rPr>
        <w:t xml:space="preserve">The TSG program was initially a </w:t>
      </w:r>
      <w:r w:rsidR="005F0C6B" w:rsidRPr="00CC7062">
        <w:rPr>
          <w:rFonts w:ascii="Arial" w:hAnsi="Arial" w:cs="Arial"/>
        </w:rPr>
        <w:lastRenderedPageBreak/>
        <w:t xml:space="preserve">program whereby producers that fit a specified product definition earned the right to use a particular EU TSG logo on their packaging. However, in 2013 the EU reformed this program to instead require that new TSGs be implemented in a restrictive manner, blocking use of the registered term by any who do not meet the specific product definition. </w:t>
      </w:r>
    </w:p>
    <w:p w14:paraId="2D32B438" w14:textId="77777777" w:rsidR="00805153" w:rsidRPr="00CC7062" w:rsidRDefault="00805153" w:rsidP="00805153">
      <w:pPr>
        <w:pStyle w:val="ListParagraph"/>
        <w:widowControl w:val="0"/>
        <w:tabs>
          <w:tab w:val="left" w:pos="810"/>
        </w:tabs>
        <w:autoSpaceDE w:val="0"/>
        <w:autoSpaceDN w:val="0"/>
        <w:ind w:left="1530" w:right="450"/>
        <w:jc w:val="both"/>
        <w:rPr>
          <w:rFonts w:ascii="Arial" w:eastAsia="Arial" w:hAnsi="Arial" w:cs="Arial"/>
        </w:rPr>
      </w:pPr>
    </w:p>
    <w:p w14:paraId="0AA185E9" w14:textId="1F5C2636" w:rsidR="005F0C6B" w:rsidRPr="00CC7062" w:rsidRDefault="005F0C6B" w:rsidP="00805153">
      <w:pPr>
        <w:pStyle w:val="ListParagraph"/>
        <w:widowControl w:val="0"/>
        <w:numPr>
          <w:ilvl w:val="0"/>
          <w:numId w:val="35"/>
        </w:numPr>
        <w:tabs>
          <w:tab w:val="left" w:pos="810"/>
        </w:tabs>
        <w:autoSpaceDE w:val="0"/>
        <w:autoSpaceDN w:val="0"/>
        <w:ind w:right="450"/>
        <w:jc w:val="both"/>
        <w:rPr>
          <w:rFonts w:ascii="Arial" w:eastAsia="Arial" w:hAnsi="Arial" w:cs="Arial"/>
        </w:rPr>
      </w:pPr>
      <w:r w:rsidRPr="00CC7062">
        <w:rPr>
          <w:rFonts w:ascii="Arial" w:eastAsia="Arial" w:hAnsi="Arial" w:cs="Arial"/>
        </w:rPr>
        <w:t>Mandatory product standards and their enforcement are not in principle a concern. When properly employed, they can provide essential consistency and information to consumers. For instance, the U.S. has a standards of identity program that specifies what products can be accurately labeled as “milk” or as “</w:t>
      </w:r>
      <w:r w:rsidR="00BE7134" w:rsidRPr="00CC7062">
        <w:rPr>
          <w:rFonts w:ascii="Arial" w:eastAsia="Arial" w:hAnsi="Arial" w:cs="Arial"/>
        </w:rPr>
        <w:t>gruyere</w:t>
      </w:r>
      <w:r w:rsidRPr="00CC7062">
        <w:rPr>
          <w:rFonts w:ascii="Arial" w:eastAsia="Arial" w:hAnsi="Arial" w:cs="Arial"/>
        </w:rPr>
        <w:t xml:space="preserve"> cheese”, regardless of where that product is produced. </w:t>
      </w:r>
    </w:p>
    <w:p w14:paraId="142DFB2C" w14:textId="77777777" w:rsidR="000E32D0" w:rsidRPr="00CC7062" w:rsidRDefault="000E32D0" w:rsidP="00B7238A">
      <w:pPr>
        <w:widowControl w:val="0"/>
        <w:tabs>
          <w:tab w:val="left" w:pos="810"/>
        </w:tabs>
        <w:autoSpaceDE w:val="0"/>
        <w:autoSpaceDN w:val="0"/>
        <w:ind w:left="720" w:right="450"/>
        <w:jc w:val="both"/>
        <w:rPr>
          <w:rFonts w:ascii="Arial" w:eastAsia="Arial" w:hAnsi="Arial" w:cs="Arial"/>
        </w:rPr>
      </w:pPr>
    </w:p>
    <w:p w14:paraId="17E865BB" w14:textId="3E76DA24" w:rsidR="005F0C6B" w:rsidRPr="00CC7062" w:rsidRDefault="005F0C6B" w:rsidP="00805153">
      <w:pPr>
        <w:pStyle w:val="ListParagraph"/>
        <w:widowControl w:val="0"/>
        <w:numPr>
          <w:ilvl w:val="0"/>
          <w:numId w:val="35"/>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However, given the EU’s track record of using its quality labeling programs to deter competition for groups of producers in specific regions of the EU, CCFN is concerned about how this regulation may be applied in practice and the lack of sufficient clear safeguards for generic names under the regulation. For instance, a TSG for </w:t>
      </w:r>
      <w:proofErr w:type="spellStart"/>
      <w:r w:rsidRPr="00CC7062">
        <w:rPr>
          <w:rFonts w:ascii="Arial" w:eastAsia="Arial" w:hAnsi="Arial" w:cs="Arial"/>
        </w:rPr>
        <w:t>neapolitan</w:t>
      </w:r>
      <w:proofErr w:type="spellEnd"/>
      <w:r w:rsidRPr="00CC7062">
        <w:rPr>
          <w:rFonts w:ascii="Arial" w:eastAsia="Arial" w:hAnsi="Arial" w:cs="Arial"/>
        </w:rPr>
        <w:t xml:space="preserve"> pizza (“Pizza </w:t>
      </w:r>
      <w:proofErr w:type="spellStart"/>
      <w:r w:rsidRPr="00CC7062">
        <w:rPr>
          <w:rFonts w:ascii="Arial" w:eastAsia="Arial" w:hAnsi="Arial" w:cs="Arial"/>
        </w:rPr>
        <w:t>Napoletana</w:t>
      </w:r>
      <w:proofErr w:type="spellEnd"/>
      <w:r w:rsidRPr="00CC7062">
        <w:rPr>
          <w:rFonts w:ascii="Arial" w:eastAsia="Arial" w:hAnsi="Arial" w:cs="Arial"/>
        </w:rPr>
        <w:t xml:space="preserve">) </w:t>
      </w:r>
      <w:r w:rsidR="00AD5E26" w:rsidRPr="00CC7062">
        <w:rPr>
          <w:rFonts w:ascii="Arial" w:eastAsia="Arial" w:hAnsi="Arial" w:cs="Arial"/>
        </w:rPr>
        <w:t>h</w:t>
      </w:r>
      <w:r w:rsidRPr="00CC7062">
        <w:rPr>
          <w:rFonts w:ascii="Arial" w:eastAsia="Arial" w:hAnsi="Arial" w:cs="Arial"/>
        </w:rPr>
        <w:t>as</w:t>
      </w:r>
      <w:r w:rsidR="00AD5E26" w:rsidRPr="00CC7062">
        <w:rPr>
          <w:rFonts w:ascii="Arial" w:eastAsia="Arial" w:hAnsi="Arial" w:cs="Arial"/>
        </w:rPr>
        <w:t xml:space="preserve"> been</w:t>
      </w:r>
      <w:r w:rsidRPr="00CC7062">
        <w:rPr>
          <w:rFonts w:ascii="Arial" w:eastAsia="Arial" w:hAnsi="Arial" w:cs="Arial"/>
        </w:rPr>
        <w:t xml:space="preserve"> created. Although the U.S. is presumably unlikely to export pizza to the EU, the EU’s propensity to “export” its regulations in the form of global regulatory and standards restrictions around the world could ultimately create challenges for restaurants and their global suppliers, including U.S. companies, if an overly restrictive standard for the term were imposed world-wide. </w:t>
      </w:r>
    </w:p>
    <w:p w14:paraId="37BF2BCF" w14:textId="77777777" w:rsidR="005F0C6B" w:rsidRPr="00CC7062" w:rsidRDefault="005F0C6B" w:rsidP="00B7238A">
      <w:pPr>
        <w:widowControl w:val="0"/>
        <w:tabs>
          <w:tab w:val="left" w:pos="810"/>
        </w:tabs>
        <w:autoSpaceDE w:val="0"/>
        <w:autoSpaceDN w:val="0"/>
        <w:ind w:left="180" w:right="450"/>
        <w:jc w:val="both"/>
        <w:rPr>
          <w:rFonts w:ascii="Arial" w:eastAsia="Arial" w:hAnsi="Arial" w:cs="Arial"/>
        </w:rPr>
      </w:pPr>
    </w:p>
    <w:p w14:paraId="608ABBCB" w14:textId="1C18A1F5" w:rsidR="005F0C6B" w:rsidRPr="00CC7062" w:rsidRDefault="005F0C6B" w:rsidP="00805153">
      <w:pPr>
        <w:pStyle w:val="ListParagraph"/>
        <w:widowControl w:val="0"/>
        <w:numPr>
          <w:ilvl w:val="0"/>
          <w:numId w:val="35"/>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Although not strictly an IP issue itself, the development of the TSG program must be viewed in the context of what the EU has done with its established GI system and policies. It will be important for the U.S. government to monitor evolution of this program and to discourage its incorporation into EU FTAs; should the EU wish to create global product standards for </w:t>
      </w:r>
      <w:proofErr w:type="gramStart"/>
      <w:r w:rsidRPr="00CC7062">
        <w:rPr>
          <w:rFonts w:ascii="Arial" w:eastAsia="Arial" w:hAnsi="Arial" w:cs="Arial"/>
        </w:rPr>
        <w:t>particular products</w:t>
      </w:r>
      <w:proofErr w:type="gramEnd"/>
      <w:r w:rsidRPr="00CC7062">
        <w:rPr>
          <w:rFonts w:ascii="Arial" w:eastAsia="Arial" w:hAnsi="Arial" w:cs="Arial"/>
        </w:rPr>
        <w:t xml:space="preserve"> the proper pathway for doing so is through the established Codex process, not unilateral dictate by Europe. </w:t>
      </w:r>
    </w:p>
    <w:p w14:paraId="5C9B2085" w14:textId="5EC892B7" w:rsidR="005F0C6B" w:rsidRPr="00CC7062" w:rsidRDefault="005F0C6B" w:rsidP="00B7238A">
      <w:pPr>
        <w:widowControl w:val="0"/>
        <w:tabs>
          <w:tab w:val="left" w:pos="810"/>
        </w:tabs>
        <w:autoSpaceDE w:val="0"/>
        <w:autoSpaceDN w:val="0"/>
        <w:ind w:right="450"/>
        <w:jc w:val="both"/>
        <w:rPr>
          <w:rFonts w:ascii="Arial" w:eastAsia="Arial" w:hAnsi="Arial" w:cs="Arial"/>
        </w:rPr>
      </w:pPr>
    </w:p>
    <w:p w14:paraId="4FB15617" w14:textId="77777777" w:rsidR="00D8656B" w:rsidRPr="00CC7062" w:rsidRDefault="00D8656B" w:rsidP="00B7238A">
      <w:pPr>
        <w:widowControl w:val="0"/>
        <w:tabs>
          <w:tab w:val="left" w:pos="810"/>
        </w:tabs>
        <w:autoSpaceDE w:val="0"/>
        <w:autoSpaceDN w:val="0"/>
        <w:ind w:right="450"/>
        <w:jc w:val="both"/>
        <w:rPr>
          <w:rFonts w:ascii="Arial" w:eastAsia="Arial" w:hAnsi="Arial" w:cs="Arial"/>
        </w:rPr>
      </w:pPr>
    </w:p>
    <w:p w14:paraId="4F7A186C" w14:textId="28EBC069" w:rsidR="00711833" w:rsidRPr="00CC7062" w:rsidRDefault="005F0C6B" w:rsidP="00B7238A">
      <w:pPr>
        <w:widowControl w:val="0"/>
        <w:autoSpaceDE w:val="0"/>
        <w:autoSpaceDN w:val="0"/>
        <w:ind w:right="450"/>
        <w:jc w:val="both"/>
        <w:rPr>
          <w:rFonts w:ascii="Arial" w:eastAsia="Arial" w:hAnsi="Arial" w:cs="Arial"/>
          <w:u w:val="single"/>
        </w:rPr>
      </w:pPr>
      <w:r w:rsidRPr="00CC7062">
        <w:rPr>
          <w:rFonts w:ascii="Arial" w:eastAsia="Arial" w:hAnsi="Arial" w:cs="Arial"/>
        </w:rPr>
        <w:tab/>
      </w:r>
      <w:r w:rsidR="00805153" w:rsidRPr="00CC7062">
        <w:rPr>
          <w:rFonts w:ascii="Arial" w:eastAsia="Arial" w:hAnsi="Arial" w:cs="Arial"/>
          <w:u w:val="single"/>
        </w:rPr>
        <w:t xml:space="preserve">Additional </w:t>
      </w:r>
      <w:r w:rsidRPr="00CC7062">
        <w:rPr>
          <w:rFonts w:ascii="Arial" w:eastAsia="Arial" w:hAnsi="Arial" w:cs="Arial"/>
          <w:u w:val="single"/>
        </w:rPr>
        <w:t xml:space="preserve">Threats </w:t>
      </w:r>
      <w:r w:rsidR="00BE7134" w:rsidRPr="00CC7062">
        <w:rPr>
          <w:rFonts w:ascii="Arial" w:eastAsia="Arial" w:hAnsi="Arial" w:cs="Arial"/>
          <w:u w:val="single"/>
        </w:rPr>
        <w:t xml:space="preserve">to Generic </w:t>
      </w:r>
      <w:r w:rsidRPr="00CC7062">
        <w:rPr>
          <w:rFonts w:ascii="Arial" w:eastAsia="Arial" w:hAnsi="Arial" w:cs="Arial"/>
          <w:u w:val="single"/>
        </w:rPr>
        <w:t>Country Name Use:</w:t>
      </w:r>
    </w:p>
    <w:p w14:paraId="2AFE5559" w14:textId="094EFB2D" w:rsidR="0003443E" w:rsidRPr="00CC7062" w:rsidRDefault="003C2AFD" w:rsidP="00B7238A">
      <w:pPr>
        <w:widowControl w:val="0"/>
        <w:autoSpaceDE w:val="0"/>
        <w:autoSpaceDN w:val="0"/>
        <w:ind w:left="720" w:right="450"/>
        <w:jc w:val="both"/>
        <w:rPr>
          <w:rFonts w:ascii="Arial" w:eastAsia="Arial" w:hAnsi="Arial" w:cs="Arial"/>
        </w:rPr>
      </w:pPr>
      <w:r w:rsidRPr="00CC7062">
        <w:rPr>
          <w:rFonts w:ascii="Arial" w:eastAsia="Arial" w:hAnsi="Arial" w:cs="Arial"/>
        </w:rPr>
        <w:t xml:space="preserve">In addition, the EU has also used other methods to </w:t>
      </w:r>
      <w:r w:rsidR="006C494C" w:rsidRPr="00CC7062">
        <w:rPr>
          <w:rFonts w:ascii="Arial" w:eastAsia="Arial" w:hAnsi="Arial" w:cs="Arial"/>
        </w:rPr>
        <w:t xml:space="preserve">discredit products with certain </w:t>
      </w:r>
      <w:r w:rsidRPr="00CC7062">
        <w:rPr>
          <w:rFonts w:ascii="Arial" w:eastAsia="Arial" w:hAnsi="Arial" w:cs="Arial"/>
        </w:rPr>
        <w:t>names produced out</w:t>
      </w:r>
      <w:r w:rsidR="0003443E" w:rsidRPr="00CC7062">
        <w:rPr>
          <w:rFonts w:ascii="Arial" w:eastAsia="Arial" w:hAnsi="Arial" w:cs="Arial"/>
        </w:rPr>
        <w:t>side</w:t>
      </w:r>
      <w:r w:rsidRPr="00CC7062">
        <w:rPr>
          <w:rFonts w:ascii="Arial" w:eastAsia="Arial" w:hAnsi="Arial" w:cs="Arial"/>
        </w:rPr>
        <w:t xml:space="preserve"> of </w:t>
      </w:r>
      <w:r w:rsidR="0003443E" w:rsidRPr="00CC7062">
        <w:rPr>
          <w:rFonts w:ascii="Arial" w:eastAsia="Arial" w:hAnsi="Arial" w:cs="Arial"/>
        </w:rPr>
        <w:t xml:space="preserve">specific </w:t>
      </w:r>
      <w:r w:rsidRPr="00CC7062">
        <w:rPr>
          <w:rFonts w:ascii="Arial" w:eastAsia="Arial" w:hAnsi="Arial" w:cs="Arial"/>
        </w:rPr>
        <w:t xml:space="preserve">EU member countries. </w:t>
      </w:r>
      <w:r w:rsidR="0003443E" w:rsidRPr="00CC7062">
        <w:rPr>
          <w:rFonts w:ascii="Arial" w:eastAsia="Arial" w:hAnsi="Arial" w:cs="Arial"/>
        </w:rPr>
        <w:t xml:space="preserve">This threatens a variety of companies that generically use country names to make references to their products. Here too, these developments must be carefully evaluated in the context of what the EU has done on GIs to date and ongoing discussions on the topic in international IP discussions. </w:t>
      </w:r>
    </w:p>
    <w:p w14:paraId="463A2CE6" w14:textId="77777777" w:rsidR="0003443E" w:rsidRPr="00CC7062" w:rsidRDefault="0003443E" w:rsidP="00B7238A">
      <w:pPr>
        <w:widowControl w:val="0"/>
        <w:tabs>
          <w:tab w:val="left" w:pos="810"/>
        </w:tabs>
        <w:autoSpaceDE w:val="0"/>
        <w:autoSpaceDN w:val="0"/>
        <w:ind w:left="1440" w:right="450"/>
        <w:jc w:val="both"/>
        <w:rPr>
          <w:rFonts w:ascii="Arial" w:eastAsia="Arial" w:hAnsi="Arial" w:cs="Arial"/>
        </w:rPr>
      </w:pPr>
    </w:p>
    <w:p w14:paraId="0E8FD1F6" w14:textId="77777777" w:rsidR="00624738" w:rsidRPr="00CC7062" w:rsidRDefault="00624738" w:rsidP="00B7238A">
      <w:pPr>
        <w:widowControl w:val="0"/>
        <w:tabs>
          <w:tab w:val="left" w:pos="810"/>
        </w:tabs>
        <w:autoSpaceDE w:val="0"/>
        <w:autoSpaceDN w:val="0"/>
        <w:ind w:left="720" w:right="450"/>
        <w:jc w:val="both"/>
        <w:rPr>
          <w:rFonts w:ascii="Arial" w:eastAsia="Arial" w:hAnsi="Arial" w:cs="Arial"/>
        </w:rPr>
      </w:pPr>
      <w:r w:rsidRPr="00CC7062">
        <w:rPr>
          <w:rFonts w:ascii="Arial" w:eastAsia="Arial" w:hAnsi="Arial" w:cs="Arial"/>
        </w:rPr>
        <w:t xml:space="preserve">Examples of this include: </w:t>
      </w:r>
    </w:p>
    <w:p w14:paraId="68A82AC0" w14:textId="77777777" w:rsidR="00624738" w:rsidRPr="00CC7062" w:rsidRDefault="00624738"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The EC’s decision that “</w:t>
      </w:r>
      <w:r w:rsidR="003C2AFD" w:rsidRPr="00CC7062">
        <w:rPr>
          <w:rFonts w:ascii="Arial" w:eastAsia="Arial" w:hAnsi="Arial" w:cs="Arial"/>
        </w:rPr>
        <w:t xml:space="preserve">Greek yogurt” </w:t>
      </w:r>
      <w:r w:rsidRPr="00CC7062">
        <w:rPr>
          <w:rFonts w:ascii="Arial" w:eastAsia="Arial" w:hAnsi="Arial" w:cs="Arial"/>
        </w:rPr>
        <w:t xml:space="preserve">could not be used on products produced outside of Greece </w:t>
      </w:r>
      <w:proofErr w:type="gramStart"/>
      <w:r w:rsidRPr="00CC7062">
        <w:rPr>
          <w:rFonts w:ascii="Arial" w:eastAsia="Arial" w:hAnsi="Arial" w:cs="Arial"/>
        </w:rPr>
        <w:t>despite the fact that</w:t>
      </w:r>
      <w:proofErr w:type="gramEnd"/>
      <w:r w:rsidRPr="00CC7062">
        <w:rPr>
          <w:rFonts w:ascii="Arial" w:eastAsia="Arial" w:hAnsi="Arial" w:cs="Arial"/>
        </w:rPr>
        <w:t xml:space="preserve"> the term </w:t>
      </w:r>
      <w:r w:rsidR="003C2AFD" w:rsidRPr="00CC7062">
        <w:rPr>
          <w:rFonts w:ascii="Arial" w:eastAsia="Arial" w:hAnsi="Arial" w:cs="Arial"/>
        </w:rPr>
        <w:t>is not protected by a geographical indication</w:t>
      </w:r>
      <w:r w:rsidR="00226A8A" w:rsidRPr="00CC7062">
        <w:rPr>
          <w:rFonts w:ascii="Arial" w:eastAsia="Arial" w:hAnsi="Arial" w:cs="Arial"/>
        </w:rPr>
        <w:t>, nor even a TSG</w:t>
      </w:r>
      <w:r w:rsidRPr="00CC7062">
        <w:rPr>
          <w:rFonts w:ascii="Arial" w:eastAsia="Arial" w:hAnsi="Arial" w:cs="Arial"/>
        </w:rPr>
        <w:t xml:space="preserve">, and </w:t>
      </w:r>
      <w:r w:rsidR="00226A8A" w:rsidRPr="00CC7062">
        <w:rPr>
          <w:rFonts w:ascii="Arial" w:eastAsia="Arial" w:hAnsi="Arial" w:cs="Arial"/>
        </w:rPr>
        <w:t>has become a widely used term to describe a type of high-protein yogurt</w:t>
      </w:r>
      <w:r w:rsidRPr="00CC7062">
        <w:rPr>
          <w:rFonts w:ascii="Arial" w:eastAsia="Arial" w:hAnsi="Arial" w:cs="Arial"/>
        </w:rPr>
        <w:t xml:space="preserve">. </w:t>
      </w:r>
    </w:p>
    <w:p w14:paraId="3AC53FB3" w14:textId="20AC4A35" w:rsidR="00624738" w:rsidRPr="00CC7062" w:rsidRDefault="00624738" w:rsidP="00B7238A">
      <w:pPr>
        <w:pStyle w:val="ListParagraph"/>
        <w:widowControl w:val="0"/>
        <w:numPr>
          <w:ilvl w:val="0"/>
          <w:numId w:val="6"/>
        </w:numPr>
        <w:tabs>
          <w:tab w:val="left" w:pos="810"/>
        </w:tabs>
        <w:autoSpaceDE w:val="0"/>
        <w:autoSpaceDN w:val="0"/>
        <w:ind w:left="1530" w:right="450"/>
        <w:jc w:val="both"/>
        <w:rPr>
          <w:rFonts w:ascii="Arial" w:eastAsia="Arial" w:hAnsi="Arial" w:cs="Arial"/>
        </w:rPr>
      </w:pPr>
      <w:r w:rsidRPr="00CC7062">
        <w:rPr>
          <w:rFonts w:ascii="Arial" w:eastAsia="Arial" w:hAnsi="Arial" w:cs="Arial"/>
        </w:rPr>
        <w:t xml:space="preserve">Efforts to bar the use of the colors of the </w:t>
      </w:r>
      <w:r w:rsidR="00226A8A" w:rsidRPr="00CC7062">
        <w:rPr>
          <w:rFonts w:ascii="Arial" w:eastAsia="Arial" w:hAnsi="Arial" w:cs="Arial"/>
        </w:rPr>
        <w:t xml:space="preserve">Italian </w:t>
      </w:r>
      <w:r w:rsidRPr="00CC7062">
        <w:rPr>
          <w:rFonts w:ascii="Arial" w:eastAsia="Arial" w:hAnsi="Arial" w:cs="Arial"/>
        </w:rPr>
        <w:t xml:space="preserve">flag </w:t>
      </w:r>
      <w:r w:rsidR="00226A8A" w:rsidRPr="00CC7062">
        <w:rPr>
          <w:rFonts w:ascii="Arial" w:eastAsia="Arial" w:hAnsi="Arial" w:cs="Arial"/>
        </w:rPr>
        <w:t>on labels (despite no unique proprietary rights to use the colors</w:t>
      </w:r>
      <w:r w:rsidRPr="00CC7062">
        <w:rPr>
          <w:rFonts w:ascii="Arial" w:eastAsia="Arial" w:hAnsi="Arial" w:cs="Arial"/>
        </w:rPr>
        <w:t xml:space="preserve"> </w:t>
      </w:r>
      <w:r w:rsidR="00226A8A" w:rsidRPr="00CC7062">
        <w:rPr>
          <w:rFonts w:ascii="Arial" w:eastAsia="Arial" w:hAnsi="Arial" w:cs="Arial"/>
        </w:rPr>
        <w:t xml:space="preserve">red, </w:t>
      </w:r>
      <w:proofErr w:type="gramStart"/>
      <w:r w:rsidR="00226A8A" w:rsidRPr="00CC7062">
        <w:rPr>
          <w:rFonts w:ascii="Arial" w:eastAsia="Arial" w:hAnsi="Arial" w:cs="Arial"/>
        </w:rPr>
        <w:t>green</w:t>
      </w:r>
      <w:proofErr w:type="gramEnd"/>
      <w:r w:rsidR="00226A8A" w:rsidRPr="00CC7062">
        <w:rPr>
          <w:rFonts w:ascii="Arial" w:eastAsia="Arial" w:hAnsi="Arial" w:cs="Arial"/>
        </w:rPr>
        <w:t xml:space="preserve"> </w:t>
      </w:r>
      <w:r w:rsidRPr="00CC7062">
        <w:rPr>
          <w:rFonts w:ascii="Arial" w:eastAsia="Arial" w:hAnsi="Arial" w:cs="Arial"/>
        </w:rPr>
        <w:t>a</w:t>
      </w:r>
      <w:r w:rsidR="00226A8A" w:rsidRPr="00CC7062">
        <w:rPr>
          <w:rFonts w:ascii="Arial" w:eastAsia="Arial" w:hAnsi="Arial" w:cs="Arial"/>
        </w:rPr>
        <w:t>nd white</w:t>
      </w:r>
      <w:r w:rsidR="006C494C" w:rsidRPr="00CC7062">
        <w:rPr>
          <w:rFonts w:ascii="Arial" w:eastAsia="Arial" w:hAnsi="Arial" w:cs="Arial"/>
        </w:rPr>
        <w:t xml:space="preserve">) and the common marketing practice of making </w:t>
      </w:r>
      <w:r w:rsidR="00D8656B" w:rsidRPr="00CC7062">
        <w:rPr>
          <w:rFonts w:ascii="Arial" w:eastAsia="Arial" w:hAnsi="Arial" w:cs="Arial"/>
        </w:rPr>
        <w:t xml:space="preserve">visual </w:t>
      </w:r>
      <w:r w:rsidR="006C494C" w:rsidRPr="00CC7062">
        <w:rPr>
          <w:rFonts w:ascii="Arial" w:eastAsia="Arial" w:hAnsi="Arial" w:cs="Arial"/>
        </w:rPr>
        <w:t>reference to the country from which a particular styl</w:t>
      </w:r>
      <w:r w:rsidR="00BE7134" w:rsidRPr="00CC7062">
        <w:rPr>
          <w:rFonts w:ascii="Arial" w:eastAsia="Arial" w:hAnsi="Arial" w:cs="Arial"/>
        </w:rPr>
        <w:t>e of food initially originated.</w:t>
      </w:r>
      <w:r w:rsidRPr="00CC7062">
        <w:rPr>
          <w:rFonts w:ascii="Arial" w:eastAsia="Arial" w:hAnsi="Arial" w:cs="Arial"/>
        </w:rPr>
        <w:t xml:space="preserve"> </w:t>
      </w:r>
    </w:p>
    <w:p w14:paraId="42255191" w14:textId="623FB57D" w:rsidR="001560DD" w:rsidRPr="00CC7062" w:rsidRDefault="00624738" w:rsidP="00B7238A">
      <w:pPr>
        <w:pStyle w:val="ListParagraph"/>
        <w:widowControl w:val="0"/>
        <w:numPr>
          <w:ilvl w:val="0"/>
          <w:numId w:val="26"/>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This puts at risk products named in an Italian government report as inappropriately asserting an Italian connection including: </w:t>
      </w:r>
      <w:r w:rsidR="006C494C" w:rsidRPr="00CC7062">
        <w:rPr>
          <w:rFonts w:ascii="Arial" w:eastAsia="Arial" w:hAnsi="Arial" w:cs="Arial"/>
        </w:rPr>
        <w:t xml:space="preserve">Wishbone Italian Salad Dressing, Progresso Italian Wedding Soup, Rita’s Italian Ice or Chef Boyardee Spaghetti &amp; Meatballs are surely not confusing consumers as to </w:t>
      </w:r>
      <w:r w:rsidR="006C494C" w:rsidRPr="00CC7062">
        <w:rPr>
          <w:rFonts w:ascii="Arial" w:eastAsia="Arial" w:hAnsi="Arial" w:cs="Arial"/>
        </w:rPr>
        <w:lastRenderedPageBreak/>
        <w:t xml:space="preserve">their origin, Italian claims to the contrary. </w:t>
      </w:r>
    </w:p>
    <w:p w14:paraId="116618B8" w14:textId="2A175FD2" w:rsidR="00624738" w:rsidRPr="00CC7062" w:rsidRDefault="00624738" w:rsidP="00B7238A">
      <w:pPr>
        <w:widowControl w:val="0"/>
        <w:tabs>
          <w:tab w:val="left" w:pos="810"/>
        </w:tabs>
        <w:autoSpaceDE w:val="0"/>
        <w:autoSpaceDN w:val="0"/>
        <w:ind w:left="810" w:right="450"/>
        <w:jc w:val="both"/>
        <w:rPr>
          <w:rFonts w:ascii="Arial" w:eastAsia="Arial" w:hAnsi="Arial" w:cs="Arial"/>
        </w:rPr>
      </w:pPr>
    </w:p>
    <w:p w14:paraId="70AAAEC0" w14:textId="324A114C" w:rsidR="00CE4856" w:rsidRPr="00CC7062" w:rsidRDefault="00BE7134"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The U.S. offers a large and lucrative market to European producers of the products in question; it is entirely unacceptable that the EU response to this has been to predatorily work to restrict the sale of common American-made products all around the world</w:t>
      </w:r>
      <w:r w:rsidR="00D8656B" w:rsidRPr="00CC7062">
        <w:rPr>
          <w:rFonts w:ascii="Arial" w:eastAsia="Arial" w:hAnsi="Arial" w:cs="Arial"/>
        </w:rPr>
        <w:t xml:space="preserve">. The U.S. should take further steps to </w:t>
      </w:r>
      <w:proofErr w:type="gramStart"/>
      <w:r w:rsidR="00D8656B" w:rsidRPr="00CC7062">
        <w:rPr>
          <w:rFonts w:ascii="Arial" w:eastAsia="Arial" w:hAnsi="Arial" w:cs="Arial"/>
        </w:rPr>
        <w:t>more effectively combat the EU’s increasing escalation of its</w:t>
      </w:r>
      <w:proofErr w:type="gramEnd"/>
      <w:r w:rsidR="00D8656B" w:rsidRPr="00CC7062">
        <w:rPr>
          <w:rFonts w:ascii="Arial" w:eastAsia="Arial" w:hAnsi="Arial" w:cs="Arial"/>
        </w:rPr>
        <w:t xml:space="preserve"> “quality system schemes” to limit fair competition from American suppliers. </w:t>
      </w:r>
    </w:p>
    <w:p w14:paraId="60A106B2" w14:textId="620FCB86" w:rsidR="00CE4856" w:rsidRPr="00CC7062" w:rsidRDefault="007B315A" w:rsidP="00B7238A">
      <w:pPr>
        <w:widowControl w:val="0"/>
        <w:tabs>
          <w:tab w:val="left" w:pos="810"/>
          <w:tab w:val="left" w:pos="1267"/>
        </w:tabs>
        <w:autoSpaceDE w:val="0"/>
        <w:autoSpaceDN w:val="0"/>
        <w:ind w:left="810" w:right="450"/>
        <w:jc w:val="both"/>
        <w:rPr>
          <w:rFonts w:ascii="Arial" w:eastAsia="Arial" w:hAnsi="Arial" w:cs="Arial"/>
        </w:rPr>
      </w:pPr>
      <w:r w:rsidRPr="00CC7062">
        <w:rPr>
          <w:rFonts w:ascii="Arial" w:eastAsia="Arial" w:hAnsi="Arial" w:cs="Arial"/>
        </w:rPr>
        <w:tab/>
      </w:r>
    </w:p>
    <w:p w14:paraId="12FFB3D1" w14:textId="77777777" w:rsidR="00624738" w:rsidRPr="00CC7062" w:rsidRDefault="00624738" w:rsidP="00B7238A">
      <w:pPr>
        <w:widowControl w:val="0"/>
        <w:tabs>
          <w:tab w:val="left" w:pos="810"/>
          <w:tab w:val="left" w:pos="1267"/>
        </w:tabs>
        <w:autoSpaceDE w:val="0"/>
        <w:autoSpaceDN w:val="0"/>
        <w:ind w:left="810" w:right="450"/>
        <w:jc w:val="both"/>
        <w:rPr>
          <w:rFonts w:ascii="Arial" w:eastAsia="Arial" w:hAnsi="Arial" w:cs="Arial"/>
        </w:rPr>
      </w:pPr>
    </w:p>
    <w:p w14:paraId="224F3BC8" w14:textId="28306C95"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Japan</w:t>
      </w:r>
    </w:p>
    <w:p w14:paraId="7D72457E" w14:textId="738712BC" w:rsidR="00FA4AF5"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Japan </w:t>
      </w:r>
      <w:r w:rsidR="00B21E53" w:rsidRPr="00CC7062">
        <w:rPr>
          <w:rFonts w:ascii="Arial" w:eastAsia="Arial" w:hAnsi="Arial" w:cs="Arial"/>
        </w:rPr>
        <w:t xml:space="preserve">implemented </w:t>
      </w:r>
      <w:r w:rsidR="00B7238A" w:rsidRPr="00CC7062">
        <w:rPr>
          <w:rFonts w:ascii="Arial" w:eastAsia="Arial" w:hAnsi="Arial" w:cs="Arial"/>
        </w:rPr>
        <w:t xml:space="preserve">an FTA </w:t>
      </w:r>
      <w:r w:rsidR="00FA4AF5" w:rsidRPr="00CC7062">
        <w:rPr>
          <w:rFonts w:ascii="Arial" w:eastAsia="Arial" w:hAnsi="Arial" w:cs="Arial"/>
        </w:rPr>
        <w:t>with the EU</w:t>
      </w:r>
      <w:r w:rsidR="00B21E53" w:rsidRPr="00CC7062">
        <w:rPr>
          <w:rFonts w:ascii="Arial" w:eastAsia="Arial" w:hAnsi="Arial" w:cs="Arial"/>
        </w:rPr>
        <w:t xml:space="preserve"> </w:t>
      </w:r>
      <w:r w:rsidR="00A76336" w:rsidRPr="00CC7062">
        <w:rPr>
          <w:rFonts w:ascii="Arial" w:eastAsia="Arial" w:hAnsi="Arial" w:cs="Arial"/>
        </w:rPr>
        <w:t>in</w:t>
      </w:r>
      <w:r w:rsidR="00B21E53" w:rsidRPr="00CC7062">
        <w:rPr>
          <w:rFonts w:ascii="Arial" w:eastAsia="Arial" w:hAnsi="Arial" w:cs="Arial"/>
        </w:rPr>
        <w:t xml:space="preserve"> 2019</w:t>
      </w:r>
      <w:r w:rsidRPr="00CC7062">
        <w:rPr>
          <w:rFonts w:ascii="Arial" w:eastAsia="Arial" w:hAnsi="Arial" w:cs="Arial"/>
        </w:rPr>
        <w:t xml:space="preserve">. </w:t>
      </w:r>
      <w:r w:rsidR="007B315A" w:rsidRPr="00CC7062">
        <w:rPr>
          <w:rFonts w:ascii="Arial" w:eastAsia="Arial" w:hAnsi="Arial" w:cs="Arial"/>
        </w:rPr>
        <w:t>The agreement establishe</w:t>
      </w:r>
      <w:r w:rsidR="00B7238A" w:rsidRPr="00CC7062">
        <w:rPr>
          <w:rFonts w:ascii="Arial" w:eastAsia="Arial" w:hAnsi="Arial" w:cs="Arial"/>
        </w:rPr>
        <w:t>d</w:t>
      </w:r>
      <w:r w:rsidR="007B315A" w:rsidRPr="00CC7062">
        <w:rPr>
          <w:rFonts w:ascii="Arial" w:eastAsia="Arial" w:hAnsi="Arial" w:cs="Arial"/>
        </w:rPr>
        <w:t xml:space="preserve"> </w:t>
      </w:r>
      <w:r w:rsidR="008B6050" w:rsidRPr="00CC7062">
        <w:rPr>
          <w:rFonts w:ascii="Arial" w:eastAsia="Arial" w:hAnsi="Arial" w:cs="Arial"/>
        </w:rPr>
        <w:t>an appropriately specific scope of protection</w:t>
      </w:r>
      <w:r w:rsidR="00524FD4" w:rsidRPr="00CC7062">
        <w:rPr>
          <w:rFonts w:ascii="Arial" w:eastAsia="Arial" w:hAnsi="Arial" w:cs="Arial"/>
        </w:rPr>
        <w:t xml:space="preserve"> </w:t>
      </w:r>
      <w:r w:rsidR="008B6050" w:rsidRPr="00CC7062">
        <w:rPr>
          <w:rFonts w:ascii="Arial" w:eastAsia="Arial" w:hAnsi="Arial" w:cs="Arial"/>
        </w:rPr>
        <w:t xml:space="preserve">with respect to compound GIs wherein the relevant common terms included in those compound GIs were preserved for free usage by all. </w:t>
      </w:r>
      <w:r w:rsidR="007B315A" w:rsidRPr="00CC7062">
        <w:rPr>
          <w:rFonts w:ascii="Arial" w:eastAsia="Arial" w:hAnsi="Arial" w:cs="Arial"/>
        </w:rPr>
        <w:t>At the same time, however</w:t>
      </w:r>
      <w:r w:rsidR="00FA4AF5" w:rsidRPr="00CC7062">
        <w:rPr>
          <w:rFonts w:ascii="Arial" w:eastAsia="Arial" w:hAnsi="Arial" w:cs="Arial"/>
        </w:rPr>
        <w:t>,</w:t>
      </w:r>
      <w:r w:rsidR="007B315A" w:rsidRPr="00CC7062">
        <w:rPr>
          <w:rFonts w:ascii="Arial" w:eastAsia="Arial" w:hAnsi="Arial" w:cs="Arial"/>
        </w:rPr>
        <w:t xml:space="preserve"> </w:t>
      </w:r>
      <w:r w:rsidR="008B6050" w:rsidRPr="00CC7062">
        <w:rPr>
          <w:rFonts w:ascii="Arial" w:eastAsia="Arial" w:hAnsi="Arial" w:cs="Arial"/>
        </w:rPr>
        <w:t xml:space="preserve">some terms were restricted such as various wine terms and generic terms impacted by several single-word GIs such as asiago, feta, </w:t>
      </w:r>
      <w:proofErr w:type="gramStart"/>
      <w:r w:rsidR="008B6050" w:rsidRPr="00CC7062">
        <w:rPr>
          <w:rFonts w:ascii="Arial" w:eastAsia="Arial" w:hAnsi="Arial" w:cs="Arial"/>
        </w:rPr>
        <w:t>fontina</w:t>
      </w:r>
      <w:proofErr w:type="gramEnd"/>
      <w:r w:rsidR="008B6050" w:rsidRPr="00CC7062">
        <w:rPr>
          <w:rFonts w:ascii="Arial" w:eastAsia="Arial" w:hAnsi="Arial" w:cs="Arial"/>
        </w:rPr>
        <w:t xml:space="preserve"> and gorgonzola.</w:t>
      </w:r>
      <w:r w:rsidR="00B7238A" w:rsidRPr="00CC7062">
        <w:rPr>
          <w:rFonts w:ascii="Arial" w:eastAsia="Arial" w:hAnsi="Arial" w:cs="Arial"/>
        </w:rPr>
        <w:t xml:space="preserve"> Since then, Japan has used its GI system to consider additional GIs. </w:t>
      </w:r>
    </w:p>
    <w:p w14:paraId="04F653AE" w14:textId="77777777" w:rsidR="00FA4AF5" w:rsidRPr="00CC7062" w:rsidRDefault="00FA4AF5" w:rsidP="00B7238A">
      <w:pPr>
        <w:widowControl w:val="0"/>
        <w:tabs>
          <w:tab w:val="left" w:pos="810"/>
        </w:tabs>
        <w:autoSpaceDE w:val="0"/>
        <w:autoSpaceDN w:val="0"/>
        <w:ind w:left="810" w:right="450"/>
        <w:jc w:val="both"/>
        <w:rPr>
          <w:rFonts w:ascii="Arial" w:eastAsia="Arial" w:hAnsi="Arial" w:cs="Arial"/>
        </w:rPr>
      </w:pPr>
    </w:p>
    <w:p w14:paraId="3BBB7334" w14:textId="3C56CB81" w:rsidR="00081EDF" w:rsidRPr="00CC7062" w:rsidRDefault="00B7238A"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Should the U.S. pursue further negotiations with Japan to secure a comprehensive agreement, </w:t>
      </w:r>
      <w:r w:rsidR="00FA4AF5" w:rsidRPr="00CC7062">
        <w:rPr>
          <w:rFonts w:ascii="Arial" w:eastAsia="Arial" w:hAnsi="Arial" w:cs="Arial"/>
        </w:rPr>
        <w:t>i</w:t>
      </w:r>
      <w:r w:rsidR="008B6050" w:rsidRPr="00CC7062">
        <w:rPr>
          <w:rFonts w:ascii="Arial" w:eastAsia="Arial" w:hAnsi="Arial" w:cs="Arial"/>
        </w:rPr>
        <w:t xml:space="preserve">t remains essential that: </w:t>
      </w:r>
    </w:p>
    <w:p w14:paraId="1B72349E" w14:textId="77777777" w:rsidR="00FA4AF5" w:rsidRPr="00CC7062" w:rsidRDefault="00FA4AF5" w:rsidP="00B7238A">
      <w:pPr>
        <w:widowControl w:val="0"/>
        <w:tabs>
          <w:tab w:val="left" w:pos="810"/>
        </w:tabs>
        <w:autoSpaceDE w:val="0"/>
        <w:autoSpaceDN w:val="0"/>
        <w:ind w:left="810" w:right="450"/>
        <w:jc w:val="both"/>
        <w:rPr>
          <w:rFonts w:ascii="Arial" w:eastAsia="Arial" w:hAnsi="Arial" w:cs="Arial"/>
        </w:rPr>
      </w:pPr>
    </w:p>
    <w:p w14:paraId="5841F6DD" w14:textId="5268A25B" w:rsidR="00081EDF" w:rsidRPr="00CC7062" w:rsidRDefault="008B6050" w:rsidP="00B7238A">
      <w:pPr>
        <w:pStyle w:val="ListParagraph"/>
        <w:widowControl w:val="0"/>
        <w:numPr>
          <w:ilvl w:val="0"/>
          <w:numId w:val="22"/>
        </w:numPr>
        <w:tabs>
          <w:tab w:val="left" w:pos="810"/>
        </w:tabs>
        <w:autoSpaceDE w:val="0"/>
        <w:autoSpaceDN w:val="0"/>
        <w:ind w:right="450"/>
        <w:jc w:val="both"/>
        <w:rPr>
          <w:rFonts w:ascii="Arial" w:eastAsia="Arial" w:hAnsi="Arial" w:cs="Arial"/>
        </w:rPr>
      </w:pPr>
      <w:r w:rsidRPr="00CC7062">
        <w:rPr>
          <w:rFonts w:ascii="Arial" w:eastAsia="Arial" w:hAnsi="Arial" w:cs="Arial"/>
        </w:rPr>
        <w:t>Japan ensure that all those with product in the market prior to the implementation of the EU-Japan FTA be covered by the “prior use” allowances</w:t>
      </w:r>
      <w:r w:rsidR="00081EDF" w:rsidRPr="00CC7062">
        <w:rPr>
          <w:rFonts w:ascii="Arial" w:eastAsia="Arial" w:hAnsi="Arial" w:cs="Arial"/>
        </w:rPr>
        <w:t xml:space="preserve">, in keeping with the terms of the 2018 WTO notice published by Japan regarding prior </w:t>
      </w:r>
      <w:proofErr w:type="gramStart"/>
      <w:r w:rsidR="00081EDF" w:rsidRPr="00CC7062">
        <w:rPr>
          <w:rFonts w:ascii="Arial" w:eastAsia="Arial" w:hAnsi="Arial" w:cs="Arial"/>
        </w:rPr>
        <w:t>users</w:t>
      </w:r>
      <w:r w:rsidR="00FA4AF5" w:rsidRPr="00CC7062">
        <w:rPr>
          <w:rFonts w:ascii="Arial" w:eastAsia="Arial" w:hAnsi="Arial" w:cs="Arial"/>
        </w:rPr>
        <w:t>;</w:t>
      </w:r>
      <w:proofErr w:type="gramEnd"/>
    </w:p>
    <w:p w14:paraId="080467EB" w14:textId="77777777" w:rsidR="00FA4AF5" w:rsidRPr="00CC7062" w:rsidRDefault="00FA4AF5" w:rsidP="00B7238A">
      <w:pPr>
        <w:pStyle w:val="ListParagraph"/>
        <w:widowControl w:val="0"/>
        <w:tabs>
          <w:tab w:val="left" w:pos="810"/>
        </w:tabs>
        <w:autoSpaceDE w:val="0"/>
        <w:autoSpaceDN w:val="0"/>
        <w:ind w:left="1800" w:right="450"/>
        <w:jc w:val="both"/>
        <w:rPr>
          <w:rFonts w:ascii="Arial" w:eastAsia="Arial" w:hAnsi="Arial" w:cs="Arial"/>
        </w:rPr>
      </w:pPr>
    </w:p>
    <w:p w14:paraId="4FAD03E1" w14:textId="457AB557" w:rsidR="00081EDF" w:rsidRPr="00CC7062" w:rsidRDefault="008B6050" w:rsidP="00B7238A">
      <w:pPr>
        <w:pStyle w:val="ListParagraph"/>
        <w:widowControl w:val="0"/>
        <w:numPr>
          <w:ilvl w:val="0"/>
          <w:numId w:val="22"/>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Japan not unduly restrict common labeling practices </w:t>
      </w:r>
      <w:r w:rsidR="00B7238A" w:rsidRPr="00CC7062">
        <w:rPr>
          <w:rFonts w:ascii="Arial" w:eastAsia="Arial" w:hAnsi="Arial" w:cs="Arial"/>
        </w:rPr>
        <w:t xml:space="preserve">(e.g., colors, images) </w:t>
      </w:r>
      <w:r w:rsidRPr="00CC7062">
        <w:rPr>
          <w:rFonts w:ascii="Arial" w:eastAsia="Arial" w:hAnsi="Arial" w:cs="Arial"/>
        </w:rPr>
        <w:t xml:space="preserve">if information </w:t>
      </w:r>
      <w:r w:rsidR="00B7238A" w:rsidRPr="00CC7062">
        <w:rPr>
          <w:rFonts w:ascii="Arial" w:eastAsia="Arial" w:hAnsi="Arial" w:cs="Arial"/>
        </w:rPr>
        <w:t xml:space="preserve">on the product’s location </w:t>
      </w:r>
      <w:r w:rsidRPr="00CC7062">
        <w:rPr>
          <w:rFonts w:ascii="Arial" w:eastAsia="Arial" w:hAnsi="Arial" w:cs="Arial"/>
        </w:rPr>
        <w:t xml:space="preserve">is still conveyed to consumers </w:t>
      </w:r>
      <w:r w:rsidR="00B7238A" w:rsidRPr="00CC7062">
        <w:rPr>
          <w:rFonts w:ascii="Arial" w:eastAsia="Arial" w:hAnsi="Arial" w:cs="Arial"/>
        </w:rPr>
        <w:t xml:space="preserve">on </w:t>
      </w:r>
      <w:r w:rsidRPr="00CC7062">
        <w:rPr>
          <w:rFonts w:ascii="Arial" w:eastAsia="Arial" w:hAnsi="Arial" w:cs="Arial"/>
        </w:rPr>
        <w:t xml:space="preserve">those </w:t>
      </w:r>
      <w:proofErr w:type="gramStart"/>
      <w:r w:rsidRPr="00CC7062">
        <w:rPr>
          <w:rFonts w:ascii="Arial" w:eastAsia="Arial" w:hAnsi="Arial" w:cs="Arial"/>
        </w:rPr>
        <w:t>labels</w:t>
      </w:r>
      <w:r w:rsidR="00FA4AF5" w:rsidRPr="00CC7062">
        <w:rPr>
          <w:rFonts w:ascii="Arial" w:eastAsia="Arial" w:hAnsi="Arial" w:cs="Arial"/>
        </w:rPr>
        <w:t>;</w:t>
      </w:r>
      <w:proofErr w:type="gramEnd"/>
    </w:p>
    <w:p w14:paraId="7F3B3BB2" w14:textId="77777777" w:rsidR="00FA4AF5" w:rsidRPr="00CC7062" w:rsidRDefault="00FA4AF5" w:rsidP="00B7238A">
      <w:pPr>
        <w:pStyle w:val="ListParagraph"/>
        <w:widowControl w:val="0"/>
        <w:tabs>
          <w:tab w:val="left" w:pos="810"/>
        </w:tabs>
        <w:autoSpaceDE w:val="0"/>
        <w:autoSpaceDN w:val="0"/>
        <w:ind w:left="1800" w:right="450"/>
        <w:jc w:val="both"/>
        <w:rPr>
          <w:rFonts w:ascii="Arial" w:eastAsia="Arial" w:hAnsi="Arial" w:cs="Arial"/>
        </w:rPr>
      </w:pPr>
    </w:p>
    <w:p w14:paraId="556F21DC" w14:textId="514B0AB6" w:rsidR="008B6050" w:rsidRPr="00CC7062" w:rsidRDefault="00081EDF" w:rsidP="00B7238A">
      <w:pPr>
        <w:pStyle w:val="ListParagraph"/>
        <w:widowControl w:val="0"/>
        <w:numPr>
          <w:ilvl w:val="0"/>
          <w:numId w:val="22"/>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Japan’s existing GI regulations’ checks and balances, including with respect to cancellation rights, be preserved and apply to all terms </w:t>
      </w:r>
      <w:r w:rsidR="00B7238A" w:rsidRPr="00CC7062">
        <w:rPr>
          <w:rFonts w:ascii="Arial" w:eastAsia="Arial" w:hAnsi="Arial" w:cs="Arial"/>
        </w:rPr>
        <w:t xml:space="preserve">registered including via </w:t>
      </w:r>
      <w:proofErr w:type="gramStart"/>
      <w:r w:rsidR="00B7238A" w:rsidRPr="00CC7062">
        <w:rPr>
          <w:rFonts w:ascii="Arial" w:eastAsia="Arial" w:hAnsi="Arial" w:cs="Arial"/>
        </w:rPr>
        <w:t>FTAs</w:t>
      </w:r>
      <w:r w:rsidR="00FA4AF5" w:rsidRPr="00CC7062">
        <w:rPr>
          <w:rFonts w:ascii="Arial" w:eastAsia="Arial" w:hAnsi="Arial" w:cs="Arial"/>
        </w:rPr>
        <w:t>;</w:t>
      </w:r>
      <w:proofErr w:type="gramEnd"/>
    </w:p>
    <w:p w14:paraId="6C0F074B" w14:textId="77777777" w:rsidR="00FA4AF5" w:rsidRPr="00CC7062" w:rsidRDefault="00FA4AF5" w:rsidP="00B7238A">
      <w:pPr>
        <w:pStyle w:val="ListParagraph"/>
        <w:rPr>
          <w:rFonts w:ascii="Arial" w:eastAsia="Arial" w:hAnsi="Arial" w:cs="Arial"/>
        </w:rPr>
      </w:pPr>
    </w:p>
    <w:p w14:paraId="1BE03006" w14:textId="3C2E4116" w:rsidR="00281310" w:rsidRPr="00CC7062" w:rsidRDefault="00FA4AF5" w:rsidP="00B7238A">
      <w:pPr>
        <w:pStyle w:val="ListParagraph"/>
        <w:widowControl w:val="0"/>
        <w:numPr>
          <w:ilvl w:val="0"/>
          <w:numId w:val="22"/>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The U.S. build on the model piloted in USMCA by establishing clear and explicit safeguards for the use of common food </w:t>
      </w:r>
      <w:r w:rsidR="00B7238A" w:rsidRPr="00CC7062">
        <w:rPr>
          <w:rFonts w:ascii="Arial" w:eastAsia="Arial" w:hAnsi="Arial" w:cs="Arial"/>
        </w:rPr>
        <w:t>and beverage terms</w:t>
      </w:r>
      <w:r w:rsidRPr="00CC7062">
        <w:rPr>
          <w:rFonts w:ascii="Arial" w:eastAsia="Arial" w:hAnsi="Arial" w:cs="Arial"/>
        </w:rPr>
        <w:t xml:space="preserve"> to ensure that the EU and its stakeholders cannot impair the value of market access for those products in the future. </w:t>
      </w:r>
    </w:p>
    <w:p w14:paraId="0C39F684" w14:textId="77777777" w:rsidR="00EE3016" w:rsidRPr="00CC7062" w:rsidRDefault="00EE3016" w:rsidP="00B7238A">
      <w:pPr>
        <w:widowControl w:val="0"/>
        <w:tabs>
          <w:tab w:val="left" w:pos="810"/>
        </w:tabs>
        <w:autoSpaceDE w:val="0"/>
        <w:autoSpaceDN w:val="0"/>
        <w:ind w:left="810" w:right="450"/>
        <w:jc w:val="both"/>
        <w:rPr>
          <w:rFonts w:ascii="Arial" w:eastAsia="Arial" w:hAnsi="Arial" w:cs="Arial"/>
        </w:rPr>
      </w:pPr>
    </w:p>
    <w:p w14:paraId="2B9E503A" w14:textId="77777777" w:rsidR="00EE3016" w:rsidRPr="00CC7062" w:rsidRDefault="00EE3016" w:rsidP="00B7238A">
      <w:pPr>
        <w:jc w:val="both"/>
        <w:rPr>
          <w:rFonts w:ascii="Arial" w:eastAsia="Arial" w:hAnsi="Arial" w:cs="Arial"/>
        </w:rPr>
      </w:pPr>
    </w:p>
    <w:p w14:paraId="43F3BCE4" w14:textId="77777777" w:rsidR="002356E4" w:rsidRPr="00CC7062" w:rsidRDefault="002356E4" w:rsidP="002356E4">
      <w:pPr>
        <w:widowControl w:val="0"/>
        <w:tabs>
          <w:tab w:val="left" w:pos="810"/>
        </w:tabs>
        <w:autoSpaceDE w:val="0"/>
        <w:autoSpaceDN w:val="0"/>
        <w:ind w:left="810" w:right="450"/>
        <w:jc w:val="both"/>
        <w:rPr>
          <w:rFonts w:ascii="Arial" w:eastAsia="Arial" w:hAnsi="Arial" w:cs="Arial"/>
          <w:b/>
          <w:bCs/>
        </w:rPr>
      </w:pPr>
      <w:r w:rsidRPr="00CC7062">
        <w:rPr>
          <w:rFonts w:ascii="Arial" w:eastAsia="Arial" w:hAnsi="Arial" w:cs="Arial"/>
          <w:b/>
          <w:bCs/>
        </w:rPr>
        <w:t>Kenya</w:t>
      </w:r>
    </w:p>
    <w:p w14:paraId="78A26040" w14:textId="77777777" w:rsidR="002356E4" w:rsidRPr="00CC7062" w:rsidRDefault="002356E4" w:rsidP="002356E4">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Should the Administration continue to pursue FTA negotiations with Kenya, this represents an excellent opportunity to forge optimal GI regulations and due process procedures (Kenya’s current intended approach having </w:t>
      </w:r>
      <w:proofErr w:type="gramStart"/>
      <w:r w:rsidRPr="00CC7062">
        <w:rPr>
          <w:rFonts w:ascii="Arial" w:eastAsia="Arial" w:hAnsi="Arial" w:cs="Arial"/>
        </w:rPr>
        <w:t>a number of</w:t>
      </w:r>
      <w:proofErr w:type="gramEnd"/>
      <w:r w:rsidRPr="00CC7062">
        <w:rPr>
          <w:rFonts w:ascii="Arial" w:eastAsia="Arial" w:hAnsi="Arial" w:cs="Arial"/>
        </w:rPr>
        <w:t xml:space="preserve"> concerns) and to secure explicit assurances regarding the market access rights of U.S. exporters. We urge the Administration to pursue these goals if it maintains the effort to secure an FTA with Kenya. </w:t>
      </w:r>
    </w:p>
    <w:p w14:paraId="029F2B8C" w14:textId="77777777" w:rsidR="002356E4" w:rsidRDefault="002356E4" w:rsidP="00B7238A">
      <w:pPr>
        <w:ind w:left="90" w:firstLine="720"/>
        <w:jc w:val="both"/>
        <w:rPr>
          <w:rFonts w:ascii="Arial" w:eastAsia="Arial" w:hAnsi="Arial" w:cs="Arial"/>
          <w:b/>
        </w:rPr>
      </w:pPr>
    </w:p>
    <w:p w14:paraId="1D68C7D7" w14:textId="77777777" w:rsidR="002356E4" w:rsidRDefault="002356E4" w:rsidP="00B7238A">
      <w:pPr>
        <w:ind w:left="90" w:firstLine="720"/>
        <w:jc w:val="both"/>
        <w:rPr>
          <w:rFonts w:ascii="Arial" w:eastAsia="Arial" w:hAnsi="Arial" w:cs="Arial"/>
          <w:b/>
        </w:rPr>
      </w:pPr>
    </w:p>
    <w:p w14:paraId="0294D76C" w14:textId="2F5650DC" w:rsidR="00675598" w:rsidRPr="00CC7062" w:rsidRDefault="00EE3016" w:rsidP="00B7238A">
      <w:pPr>
        <w:ind w:left="90" w:firstLine="720"/>
        <w:jc w:val="both"/>
        <w:rPr>
          <w:rFonts w:ascii="Arial" w:eastAsia="Arial" w:hAnsi="Arial" w:cs="Arial"/>
          <w:b/>
          <w:bCs/>
        </w:rPr>
      </w:pPr>
      <w:r w:rsidRPr="00CC7062">
        <w:rPr>
          <w:rFonts w:ascii="Arial" w:eastAsia="Arial" w:hAnsi="Arial" w:cs="Arial"/>
          <w:b/>
        </w:rPr>
        <w:t>K</w:t>
      </w:r>
      <w:r w:rsidR="00675598" w:rsidRPr="00CC7062">
        <w:rPr>
          <w:rFonts w:ascii="Arial" w:eastAsia="Arial" w:hAnsi="Arial" w:cs="Arial"/>
          <w:b/>
          <w:bCs/>
        </w:rPr>
        <w:t>orea</w:t>
      </w:r>
    </w:p>
    <w:p w14:paraId="1F99473A" w14:textId="77777777" w:rsidR="00B7238A"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As part of the EU-Korea FTA, Korea banned the import of several commonly produced U.S. </w:t>
      </w:r>
      <w:r w:rsidR="00114F11" w:rsidRPr="00CC7062">
        <w:rPr>
          <w:rFonts w:ascii="Arial" w:eastAsia="Arial" w:hAnsi="Arial" w:cs="Arial"/>
        </w:rPr>
        <w:t>foods</w:t>
      </w:r>
      <w:r w:rsidRPr="00CC7062">
        <w:rPr>
          <w:rFonts w:ascii="Arial" w:eastAsia="Arial" w:hAnsi="Arial" w:cs="Arial"/>
        </w:rPr>
        <w:t xml:space="preserve"> if they were labeled using their common names</w:t>
      </w:r>
      <w:r w:rsidR="00B87E5F" w:rsidRPr="00CC7062">
        <w:rPr>
          <w:rFonts w:ascii="Arial" w:eastAsia="Arial" w:hAnsi="Arial" w:cs="Arial"/>
        </w:rPr>
        <w:t xml:space="preserve"> without conducting a due process procedure that included an impartial review of the terms and a public comment period</w:t>
      </w:r>
      <w:r w:rsidRPr="00CC7062">
        <w:rPr>
          <w:rFonts w:ascii="Arial" w:eastAsia="Arial" w:hAnsi="Arial" w:cs="Arial"/>
        </w:rPr>
        <w:t xml:space="preserve">. This action impaired the value of concessions granted to the U.S. under the previously negotiated U.S.-Korea FTA by forbidding the sale of accurately labeled U.S. asiago, fontina, </w:t>
      </w:r>
      <w:proofErr w:type="gramStart"/>
      <w:r w:rsidRPr="00CC7062">
        <w:rPr>
          <w:rFonts w:ascii="Arial" w:eastAsia="Arial" w:hAnsi="Arial" w:cs="Arial"/>
        </w:rPr>
        <w:t>gorgonzola</w:t>
      </w:r>
      <w:proofErr w:type="gramEnd"/>
      <w:r w:rsidRPr="00CC7062">
        <w:rPr>
          <w:rFonts w:ascii="Arial" w:eastAsia="Arial" w:hAnsi="Arial" w:cs="Arial"/>
        </w:rPr>
        <w:t xml:space="preserve"> and feta</w:t>
      </w:r>
      <w:r w:rsidR="00B87E5F" w:rsidRPr="00CC7062">
        <w:rPr>
          <w:rFonts w:ascii="Arial" w:eastAsia="Arial" w:hAnsi="Arial" w:cs="Arial"/>
        </w:rPr>
        <w:t xml:space="preserve"> to one of the world’s most important cheese import markets</w:t>
      </w:r>
      <w:r w:rsidRPr="00CC7062">
        <w:rPr>
          <w:rFonts w:ascii="Arial" w:eastAsia="Arial" w:hAnsi="Arial" w:cs="Arial"/>
        </w:rPr>
        <w:t xml:space="preserve">. </w:t>
      </w:r>
      <w:r w:rsidR="00B87E5F" w:rsidRPr="00CC7062">
        <w:rPr>
          <w:rFonts w:ascii="Arial" w:eastAsia="Arial" w:hAnsi="Arial" w:cs="Arial"/>
        </w:rPr>
        <w:t>Fortunately, the U.S. salvaged a large portion of the value of KORUS’s benefits by securing a commitment</w:t>
      </w:r>
      <w:r w:rsidR="00B87E5F" w:rsidRPr="00CC7062">
        <w:rPr>
          <w:vertAlign w:val="superscript"/>
        </w:rPr>
        <w:footnoteReference w:id="4"/>
      </w:r>
      <w:r w:rsidR="00B87E5F" w:rsidRPr="00CC7062">
        <w:rPr>
          <w:rFonts w:ascii="Arial" w:eastAsia="Arial" w:hAnsi="Arial" w:cs="Arial"/>
        </w:rPr>
        <w:t xml:space="preserve"> from </w:t>
      </w:r>
      <w:r w:rsidRPr="00CC7062">
        <w:rPr>
          <w:rFonts w:ascii="Arial" w:eastAsia="Arial" w:hAnsi="Arial" w:cs="Arial"/>
        </w:rPr>
        <w:t>Korea</w:t>
      </w:r>
      <w:r w:rsidR="00B87E5F" w:rsidRPr="00CC7062">
        <w:rPr>
          <w:rFonts w:ascii="Arial" w:eastAsia="Arial" w:hAnsi="Arial" w:cs="Arial"/>
        </w:rPr>
        <w:t xml:space="preserve"> that </w:t>
      </w:r>
      <w:r w:rsidRPr="00CC7062">
        <w:rPr>
          <w:rFonts w:ascii="Arial" w:eastAsia="Arial" w:hAnsi="Arial" w:cs="Arial"/>
        </w:rPr>
        <w:t>provides clarity regarding the status of common names contained in multi-term GIs.</w:t>
      </w:r>
      <w:r w:rsidR="00B87E5F" w:rsidRPr="00CC7062">
        <w:rPr>
          <w:rFonts w:ascii="Arial" w:eastAsia="Arial" w:hAnsi="Arial" w:cs="Arial"/>
        </w:rPr>
        <w:t xml:space="preserve"> </w:t>
      </w:r>
      <w:r w:rsidR="00FA4AF5" w:rsidRPr="00CC7062">
        <w:rPr>
          <w:rFonts w:ascii="Arial" w:eastAsia="Arial" w:hAnsi="Arial" w:cs="Arial"/>
        </w:rPr>
        <w:t>T</w:t>
      </w:r>
      <w:r w:rsidR="008B6050" w:rsidRPr="00CC7062">
        <w:rPr>
          <w:rFonts w:ascii="Arial" w:eastAsia="Arial" w:hAnsi="Arial" w:cs="Arial"/>
        </w:rPr>
        <w:t>his type of very</w:t>
      </w:r>
      <w:r w:rsidRPr="00CC7062">
        <w:rPr>
          <w:rFonts w:ascii="Arial" w:eastAsia="Arial" w:hAnsi="Arial" w:cs="Arial"/>
        </w:rPr>
        <w:t xml:space="preserve"> specific </w:t>
      </w:r>
      <w:r w:rsidR="008B6050" w:rsidRPr="00CC7062">
        <w:rPr>
          <w:rFonts w:ascii="Arial" w:eastAsia="Arial" w:hAnsi="Arial" w:cs="Arial"/>
        </w:rPr>
        <w:t xml:space="preserve">understanding with a key trading partner has been essential to providing </w:t>
      </w:r>
      <w:r w:rsidRPr="00CC7062">
        <w:rPr>
          <w:rFonts w:ascii="Arial" w:eastAsia="Arial" w:hAnsi="Arial" w:cs="Arial"/>
        </w:rPr>
        <w:t xml:space="preserve">clarity to U.S. exporters regarding the types of products </w:t>
      </w:r>
      <w:r w:rsidR="00FA4AF5" w:rsidRPr="00CC7062">
        <w:rPr>
          <w:rFonts w:ascii="Arial" w:eastAsia="Arial" w:hAnsi="Arial" w:cs="Arial"/>
        </w:rPr>
        <w:t xml:space="preserve">that can be exported to Korea. </w:t>
      </w:r>
    </w:p>
    <w:p w14:paraId="15488892" w14:textId="77777777" w:rsidR="00B7238A" w:rsidRPr="00CC7062" w:rsidRDefault="00B7238A" w:rsidP="00B7238A">
      <w:pPr>
        <w:widowControl w:val="0"/>
        <w:tabs>
          <w:tab w:val="left" w:pos="810"/>
        </w:tabs>
        <w:autoSpaceDE w:val="0"/>
        <w:autoSpaceDN w:val="0"/>
        <w:ind w:left="810" w:right="450"/>
        <w:jc w:val="both"/>
        <w:rPr>
          <w:rFonts w:ascii="Arial" w:eastAsia="Arial" w:hAnsi="Arial" w:cs="Arial"/>
        </w:rPr>
      </w:pPr>
    </w:p>
    <w:p w14:paraId="0E5FFC9A" w14:textId="2E7FEB19" w:rsidR="00675598" w:rsidRPr="00CC7062" w:rsidRDefault="00FA4AF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To take this understanding to the next level and provide the strongest form of certainty moving forward, we urge the U.S. to work with Korea to secure clear market access assurances that build upon the precedent established under USMCA with Mexico.</w:t>
      </w:r>
      <w:r w:rsidR="00B7238A" w:rsidRPr="00CC7062">
        <w:rPr>
          <w:rFonts w:ascii="Arial" w:eastAsia="Arial" w:hAnsi="Arial" w:cs="Arial"/>
        </w:rPr>
        <w:t xml:space="preserve"> Moreover, we urge the U.S. to work with Korea to ensure that </w:t>
      </w:r>
      <w:proofErr w:type="gramStart"/>
      <w:r w:rsidR="00B7238A" w:rsidRPr="00CC7062">
        <w:rPr>
          <w:rFonts w:ascii="Arial" w:eastAsia="Arial" w:hAnsi="Arial" w:cs="Arial"/>
        </w:rPr>
        <w:t>it is clear that the</w:t>
      </w:r>
      <w:proofErr w:type="gramEnd"/>
      <w:r w:rsidR="00B7238A" w:rsidRPr="00CC7062">
        <w:rPr>
          <w:rFonts w:ascii="Arial" w:eastAsia="Arial" w:hAnsi="Arial" w:cs="Arial"/>
        </w:rPr>
        <w:t xml:space="preserve"> compound protection only approach laid out in the 2012 letter exchange pertains to new GIs as well such as those presently under consideration by Korea. </w:t>
      </w:r>
      <w:r w:rsidRPr="00CC7062">
        <w:rPr>
          <w:rFonts w:ascii="Arial" w:eastAsia="Arial" w:hAnsi="Arial" w:cs="Arial"/>
        </w:rPr>
        <w:t xml:space="preserve"> </w:t>
      </w:r>
    </w:p>
    <w:p w14:paraId="73789044" w14:textId="77777777" w:rsidR="00EE3016" w:rsidRPr="00CC7062" w:rsidRDefault="00EE3016" w:rsidP="00B7238A">
      <w:pPr>
        <w:widowControl w:val="0"/>
        <w:tabs>
          <w:tab w:val="left" w:pos="810"/>
        </w:tabs>
        <w:autoSpaceDE w:val="0"/>
        <w:autoSpaceDN w:val="0"/>
        <w:ind w:left="810" w:right="450"/>
        <w:jc w:val="both"/>
        <w:rPr>
          <w:rFonts w:ascii="Arial" w:eastAsia="Arial" w:hAnsi="Arial" w:cs="Arial"/>
        </w:rPr>
      </w:pPr>
    </w:p>
    <w:p w14:paraId="1CEE2187" w14:textId="77777777" w:rsidR="003E7156" w:rsidRPr="00CC7062" w:rsidRDefault="003E7156" w:rsidP="00B7238A">
      <w:pPr>
        <w:widowControl w:val="0"/>
        <w:tabs>
          <w:tab w:val="left" w:pos="810"/>
        </w:tabs>
        <w:autoSpaceDE w:val="0"/>
        <w:autoSpaceDN w:val="0"/>
        <w:ind w:left="810" w:right="450"/>
        <w:jc w:val="both"/>
        <w:rPr>
          <w:rFonts w:ascii="Arial" w:eastAsia="Arial" w:hAnsi="Arial" w:cs="Arial"/>
        </w:rPr>
      </w:pPr>
    </w:p>
    <w:p w14:paraId="7327C939" w14:textId="64E1723C" w:rsidR="00723C08" w:rsidRPr="00CC7062" w:rsidRDefault="00723C08" w:rsidP="00B7238A">
      <w:pPr>
        <w:widowControl w:val="0"/>
        <w:tabs>
          <w:tab w:val="left" w:pos="810"/>
        </w:tabs>
        <w:autoSpaceDE w:val="0"/>
        <w:autoSpaceDN w:val="0"/>
        <w:ind w:left="810" w:right="450"/>
        <w:jc w:val="both"/>
        <w:rPr>
          <w:rFonts w:ascii="Arial" w:eastAsia="Arial" w:hAnsi="Arial" w:cs="Arial"/>
          <w:b/>
        </w:rPr>
      </w:pPr>
      <w:r w:rsidRPr="00CC7062">
        <w:rPr>
          <w:rFonts w:ascii="Arial" w:eastAsia="Arial" w:hAnsi="Arial" w:cs="Arial"/>
          <w:b/>
        </w:rPr>
        <w:t xml:space="preserve">Indonesia </w:t>
      </w:r>
    </w:p>
    <w:p w14:paraId="646EA63C" w14:textId="43C0BA59" w:rsidR="00723C08" w:rsidRPr="00CC7062" w:rsidRDefault="00723C0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Indonesia is involved in FTA negotiations with the EU. </w:t>
      </w:r>
      <w:r w:rsidR="00B7238A" w:rsidRPr="00CC7062">
        <w:rPr>
          <w:rFonts w:ascii="Arial" w:eastAsia="Arial" w:hAnsi="Arial" w:cs="Arial"/>
        </w:rPr>
        <w:t>A</w:t>
      </w:r>
      <w:r w:rsidR="00B87E5F" w:rsidRPr="00CC7062">
        <w:rPr>
          <w:rFonts w:ascii="Arial" w:eastAsia="Arial" w:hAnsi="Arial" w:cs="Arial"/>
        </w:rPr>
        <w:t xml:space="preserve"> goal of these negotiations for the EU </w:t>
      </w:r>
      <w:r w:rsidR="00B7238A" w:rsidRPr="00CC7062">
        <w:rPr>
          <w:rFonts w:ascii="Arial" w:eastAsia="Arial" w:hAnsi="Arial" w:cs="Arial"/>
        </w:rPr>
        <w:t xml:space="preserve">government </w:t>
      </w:r>
      <w:r w:rsidR="00B87E5F" w:rsidRPr="00CC7062">
        <w:rPr>
          <w:rFonts w:ascii="Arial" w:eastAsia="Arial" w:hAnsi="Arial" w:cs="Arial"/>
        </w:rPr>
        <w:t xml:space="preserve">is to secure </w:t>
      </w:r>
      <w:r w:rsidRPr="00CC7062">
        <w:rPr>
          <w:rFonts w:ascii="Arial" w:eastAsia="Arial" w:hAnsi="Arial" w:cs="Arial"/>
        </w:rPr>
        <w:t>the registration of a long list of GIs and a broad scope of protection for those terms. We are very concerned that an eventual agreement could restrict current and future opportunities in the Indonesian market for commonly produced products.</w:t>
      </w:r>
      <w:r w:rsidR="00297A8A" w:rsidRPr="00CC7062">
        <w:rPr>
          <w:rFonts w:ascii="Arial" w:eastAsia="Arial" w:hAnsi="Arial" w:cs="Arial"/>
        </w:rPr>
        <w:t xml:space="preserve"> In a related manner, i</w:t>
      </w:r>
      <w:r w:rsidRPr="00CC7062">
        <w:rPr>
          <w:rFonts w:ascii="Arial" w:eastAsia="Arial" w:hAnsi="Arial" w:cs="Arial"/>
        </w:rPr>
        <w:t xml:space="preserve">n </w:t>
      </w:r>
      <w:r w:rsidR="003E7975" w:rsidRPr="00CC7062">
        <w:rPr>
          <w:rFonts w:ascii="Arial" w:eastAsia="Arial" w:hAnsi="Arial" w:cs="Arial"/>
        </w:rPr>
        <w:t>2016</w:t>
      </w:r>
      <w:r w:rsidR="00631A80" w:rsidRPr="00CC7062">
        <w:rPr>
          <w:rFonts w:ascii="Arial" w:eastAsia="Arial" w:hAnsi="Arial" w:cs="Arial"/>
        </w:rPr>
        <w:t xml:space="preserve"> </w:t>
      </w:r>
      <w:r w:rsidRPr="00CC7062">
        <w:rPr>
          <w:rFonts w:ascii="Arial" w:eastAsia="Arial" w:hAnsi="Arial" w:cs="Arial"/>
        </w:rPr>
        <w:t xml:space="preserve">Indonesia </w:t>
      </w:r>
      <w:r w:rsidR="00297A8A" w:rsidRPr="00CC7062">
        <w:rPr>
          <w:rFonts w:ascii="Arial" w:eastAsia="Arial" w:hAnsi="Arial" w:cs="Arial"/>
        </w:rPr>
        <w:t>issued text proposing changes to i</w:t>
      </w:r>
      <w:r w:rsidRPr="00CC7062">
        <w:rPr>
          <w:rFonts w:ascii="Arial" w:eastAsia="Arial" w:hAnsi="Arial" w:cs="Arial"/>
        </w:rPr>
        <w:t xml:space="preserve">ts </w:t>
      </w:r>
      <w:r w:rsidR="00AE3091" w:rsidRPr="00CC7062">
        <w:rPr>
          <w:rFonts w:ascii="Arial" w:eastAsia="Arial" w:hAnsi="Arial" w:cs="Arial"/>
        </w:rPr>
        <w:t xml:space="preserve">GI </w:t>
      </w:r>
      <w:r w:rsidRPr="00CC7062">
        <w:rPr>
          <w:rFonts w:ascii="Arial" w:eastAsia="Arial" w:hAnsi="Arial" w:cs="Arial"/>
        </w:rPr>
        <w:t>regulations</w:t>
      </w:r>
      <w:r w:rsidR="00297A8A" w:rsidRPr="00CC7062">
        <w:rPr>
          <w:rFonts w:ascii="Arial" w:eastAsia="Arial" w:hAnsi="Arial" w:cs="Arial"/>
        </w:rPr>
        <w:t xml:space="preserve">. To our knowledge this has to date not </w:t>
      </w:r>
      <w:r w:rsidR="008B6050" w:rsidRPr="00CC7062">
        <w:rPr>
          <w:rFonts w:ascii="Arial" w:eastAsia="Arial" w:hAnsi="Arial" w:cs="Arial"/>
        </w:rPr>
        <w:t>been properly notified to the WTO</w:t>
      </w:r>
      <w:r w:rsidR="00297A8A" w:rsidRPr="00CC7062">
        <w:rPr>
          <w:rFonts w:ascii="Arial" w:eastAsia="Arial" w:hAnsi="Arial" w:cs="Arial"/>
        </w:rPr>
        <w:t xml:space="preserve">. Moreover, </w:t>
      </w:r>
      <w:r w:rsidR="00B7238A" w:rsidRPr="00CC7062">
        <w:rPr>
          <w:rFonts w:ascii="Arial" w:eastAsia="Arial" w:hAnsi="Arial" w:cs="Arial"/>
        </w:rPr>
        <w:t>the proposed regulation</w:t>
      </w:r>
      <w:r w:rsidR="00297A8A" w:rsidRPr="00CC7062">
        <w:rPr>
          <w:rFonts w:ascii="Arial" w:eastAsia="Arial" w:hAnsi="Arial" w:cs="Arial"/>
        </w:rPr>
        <w:t xml:space="preserve"> </w:t>
      </w:r>
      <w:r w:rsidR="008B6050" w:rsidRPr="00CC7062">
        <w:rPr>
          <w:rFonts w:ascii="Arial" w:eastAsia="Arial" w:hAnsi="Arial" w:cs="Arial"/>
        </w:rPr>
        <w:t>contai</w:t>
      </w:r>
      <w:r w:rsidR="00297A8A" w:rsidRPr="00CC7062">
        <w:rPr>
          <w:rFonts w:ascii="Arial" w:eastAsia="Arial" w:hAnsi="Arial" w:cs="Arial"/>
        </w:rPr>
        <w:t xml:space="preserve">ned </w:t>
      </w:r>
      <w:proofErr w:type="gramStart"/>
      <w:r w:rsidR="008B6050" w:rsidRPr="00CC7062">
        <w:rPr>
          <w:rFonts w:ascii="Arial" w:eastAsia="Arial" w:hAnsi="Arial" w:cs="Arial"/>
        </w:rPr>
        <w:t>a number of</w:t>
      </w:r>
      <w:proofErr w:type="gramEnd"/>
      <w:r w:rsidR="008B6050" w:rsidRPr="00CC7062">
        <w:rPr>
          <w:rFonts w:ascii="Arial" w:eastAsia="Arial" w:hAnsi="Arial" w:cs="Arial"/>
        </w:rPr>
        <w:t xml:space="preserve"> highly troubling provisions with penalties and scope that appear to be even more draconian that those employed in the EU.</w:t>
      </w:r>
      <w:r w:rsidR="00297A8A" w:rsidRPr="00CC7062">
        <w:rPr>
          <w:rFonts w:ascii="Arial" w:eastAsia="Arial" w:hAnsi="Arial" w:cs="Arial"/>
        </w:rPr>
        <w:t xml:space="preserve"> </w:t>
      </w:r>
      <w:r w:rsidRPr="00CC7062">
        <w:rPr>
          <w:rFonts w:ascii="Arial" w:eastAsia="Arial" w:hAnsi="Arial" w:cs="Arial"/>
        </w:rPr>
        <w:t xml:space="preserve">We urge the Administration to </w:t>
      </w:r>
      <w:r w:rsidR="00297A8A" w:rsidRPr="00CC7062">
        <w:rPr>
          <w:rFonts w:ascii="Arial" w:eastAsia="Arial" w:hAnsi="Arial" w:cs="Arial"/>
        </w:rPr>
        <w:t>work with</w:t>
      </w:r>
      <w:r w:rsidRPr="00CC7062">
        <w:rPr>
          <w:rFonts w:ascii="Arial" w:eastAsia="Arial" w:hAnsi="Arial" w:cs="Arial"/>
        </w:rPr>
        <w:t xml:space="preserve"> Indonesia </w:t>
      </w:r>
      <w:r w:rsidR="00297A8A" w:rsidRPr="00CC7062">
        <w:rPr>
          <w:rFonts w:ascii="Arial" w:eastAsia="Arial" w:hAnsi="Arial" w:cs="Arial"/>
        </w:rPr>
        <w:t xml:space="preserve">to ensure that access to that market for </w:t>
      </w:r>
      <w:r w:rsidR="00B7238A" w:rsidRPr="00CC7062">
        <w:rPr>
          <w:rFonts w:ascii="Arial" w:eastAsia="Arial" w:hAnsi="Arial" w:cs="Arial"/>
        </w:rPr>
        <w:t xml:space="preserve">products relying on </w:t>
      </w:r>
      <w:r w:rsidR="00297A8A" w:rsidRPr="00CC7062">
        <w:rPr>
          <w:rFonts w:ascii="Arial" w:eastAsia="Arial" w:hAnsi="Arial" w:cs="Arial"/>
        </w:rPr>
        <w:t xml:space="preserve">common food </w:t>
      </w:r>
      <w:r w:rsidR="00B7238A" w:rsidRPr="00CC7062">
        <w:rPr>
          <w:rFonts w:ascii="Arial" w:eastAsia="Arial" w:hAnsi="Arial" w:cs="Arial"/>
        </w:rPr>
        <w:t>and beverage</w:t>
      </w:r>
      <w:r w:rsidR="00297A8A" w:rsidRPr="00CC7062">
        <w:rPr>
          <w:rFonts w:ascii="Arial" w:eastAsia="Arial" w:hAnsi="Arial" w:cs="Arial"/>
        </w:rPr>
        <w:t xml:space="preserve"> </w:t>
      </w:r>
      <w:r w:rsidR="00B7238A" w:rsidRPr="00CC7062">
        <w:rPr>
          <w:rFonts w:ascii="Arial" w:eastAsia="Arial" w:hAnsi="Arial" w:cs="Arial"/>
        </w:rPr>
        <w:t xml:space="preserve">terms </w:t>
      </w:r>
      <w:r w:rsidR="00297A8A" w:rsidRPr="00CC7062">
        <w:rPr>
          <w:rFonts w:ascii="Arial" w:eastAsia="Arial" w:hAnsi="Arial" w:cs="Arial"/>
        </w:rPr>
        <w:t xml:space="preserve">is maintained and </w:t>
      </w:r>
      <w:r w:rsidR="008B6050" w:rsidRPr="00CC7062">
        <w:rPr>
          <w:rFonts w:ascii="Arial" w:eastAsia="Arial" w:hAnsi="Arial" w:cs="Arial"/>
        </w:rPr>
        <w:t xml:space="preserve">to improve </w:t>
      </w:r>
      <w:r w:rsidR="00B7238A" w:rsidRPr="00CC7062">
        <w:rPr>
          <w:rFonts w:ascii="Arial" w:eastAsia="Arial" w:hAnsi="Arial" w:cs="Arial"/>
        </w:rPr>
        <w:t>Indonesia’s</w:t>
      </w:r>
      <w:r w:rsidR="008B6050" w:rsidRPr="00CC7062">
        <w:rPr>
          <w:rFonts w:ascii="Arial" w:eastAsia="Arial" w:hAnsi="Arial" w:cs="Arial"/>
        </w:rPr>
        <w:t xml:space="preserve"> deeply flawed GI regulations. </w:t>
      </w:r>
    </w:p>
    <w:p w14:paraId="37E85618" w14:textId="31BC6075" w:rsidR="00723C08" w:rsidRPr="00CC7062" w:rsidRDefault="00723C08" w:rsidP="00B7238A">
      <w:pPr>
        <w:widowControl w:val="0"/>
        <w:tabs>
          <w:tab w:val="left" w:pos="810"/>
        </w:tabs>
        <w:autoSpaceDE w:val="0"/>
        <w:autoSpaceDN w:val="0"/>
        <w:ind w:left="810" w:right="450"/>
        <w:jc w:val="both"/>
        <w:rPr>
          <w:rFonts w:ascii="Arial" w:eastAsia="Arial" w:hAnsi="Arial" w:cs="Arial"/>
        </w:rPr>
      </w:pPr>
    </w:p>
    <w:p w14:paraId="22CD3289" w14:textId="77777777" w:rsidR="006131BE" w:rsidRPr="00CC7062" w:rsidRDefault="006131BE" w:rsidP="00B7238A">
      <w:pPr>
        <w:widowControl w:val="0"/>
        <w:tabs>
          <w:tab w:val="left" w:pos="810"/>
        </w:tabs>
        <w:autoSpaceDE w:val="0"/>
        <w:autoSpaceDN w:val="0"/>
        <w:ind w:left="810" w:right="450"/>
        <w:jc w:val="both"/>
        <w:rPr>
          <w:rFonts w:ascii="Arial" w:eastAsia="Arial" w:hAnsi="Arial" w:cs="Arial"/>
        </w:rPr>
      </w:pPr>
    </w:p>
    <w:p w14:paraId="136A4749" w14:textId="0804DCBE"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Malaysia</w:t>
      </w:r>
    </w:p>
    <w:p w14:paraId="29C5A242" w14:textId="2D9C010E" w:rsidR="007D69B1"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Malaysia is involved in FTA negotiations with the EU. </w:t>
      </w:r>
      <w:r w:rsidR="00B7238A" w:rsidRPr="00CC7062">
        <w:rPr>
          <w:rFonts w:ascii="Arial" w:eastAsia="Arial" w:hAnsi="Arial" w:cs="Arial"/>
        </w:rPr>
        <w:t xml:space="preserve">A goal of these negotiations for the EU government is to secure the registration of a long list of GIs and a broad scope of protection for those terms. </w:t>
      </w:r>
      <w:r w:rsidRPr="00CC7062">
        <w:rPr>
          <w:rFonts w:ascii="Arial" w:eastAsia="Arial" w:hAnsi="Arial" w:cs="Arial"/>
        </w:rPr>
        <w:t xml:space="preserve">We are very concerned that an eventual agreement could restrict current and future opportunities in the Malaysian market for </w:t>
      </w:r>
      <w:r w:rsidR="00B7238A" w:rsidRPr="00CC7062">
        <w:rPr>
          <w:rFonts w:ascii="Arial" w:eastAsia="Arial" w:hAnsi="Arial" w:cs="Arial"/>
        </w:rPr>
        <w:t>products relying on common food and beverage terms</w:t>
      </w:r>
      <w:r w:rsidRPr="00CC7062">
        <w:rPr>
          <w:rFonts w:ascii="Arial" w:eastAsia="Arial" w:hAnsi="Arial" w:cs="Arial"/>
        </w:rPr>
        <w:t xml:space="preserve">. </w:t>
      </w:r>
      <w:r w:rsidR="00B7238A" w:rsidRPr="00CC7062">
        <w:rPr>
          <w:rFonts w:ascii="Arial" w:eastAsia="Arial" w:hAnsi="Arial" w:cs="Arial"/>
        </w:rPr>
        <w:t>We urge the Administration to work with Indonesia to ensure that access to that market for products relying on common food and beverage terms is maintained.</w:t>
      </w:r>
    </w:p>
    <w:p w14:paraId="03CD4D14" w14:textId="77777777" w:rsidR="007D69B1" w:rsidRPr="00CC7062" w:rsidRDefault="007D69B1" w:rsidP="00B7238A">
      <w:pPr>
        <w:widowControl w:val="0"/>
        <w:tabs>
          <w:tab w:val="left" w:pos="810"/>
        </w:tabs>
        <w:autoSpaceDE w:val="0"/>
        <w:autoSpaceDN w:val="0"/>
        <w:ind w:left="810" w:right="450"/>
        <w:jc w:val="both"/>
        <w:rPr>
          <w:rFonts w:ascii="Arial" w:eastAsia="Arial" w:hAnsi="Arial" w:cs="Arial"/>
        </w:rPr>
      </w:pPr>
    </w:p>
    <w:p w14:paraId="24EBC663" w14:textId="77777777" w:rsidR="00675598" w:rsidRPr="00CC7062" w:rsidRDefault="00675598" w:rsidP="00B7238A">
      <w:pPr>
        <w:widowControl w:val="0"/>
        <w:tabs>
          <w:tab w:val="left" w:pos="810"/>
        </w:tabs>
        <w:autoSpaceDE w:val="0"/>
        <w:autoSpaceDN w:val="0"/>
        <w:ind w:left="810" w:right="450"/>
        <w:jc w:val="both"/>
        <w:rPr>
          <w:rFonts w:ascii="Arial" w:eastAsia="Arial" w:hAnsi="Arial" w:cs="Arial"/>
        </w:rPr>
      </w:pPr>
    </w:p>
    <w:p w14:paraId="04267BF1" w14:textId="77777777"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Mexico</w:t>
      </w:r>
    </w:p>
    <w:p w14:paraId="18C404A5" w14:textId="701FC456" w:rsidR="0085071F" w:rsidRPr="00CC7062" w:rsidRDefault="00604A11"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Last year Mexico implemented USMCA, which established several </w:t>
      </w:r>
      <w:r w:rsidR="0085071F" w:rsidRPr="00CC7062">
        <w:rPr>
          <w:rFonts w:ascii="Arial" w:eastAsia="Arial" w:hAnsi="Arial" w:cs="Arial"/>
        </w:rPr>
        <w:t xml:space="preserve">precedents </w:t>
      </w:r>
      <w:r w:rsidRPr="00CC7062">
        <w:rPr>
          <w:rFonts w:ascii="Arial" w:eastAsia="Arial" w:hAnsi="Arial" w:cs="Arial"/>
        </w:rPr>
        <w:t xml:space="preserve">that merit ensuring robust implementation in Mexico and building further upon with additional trading partners </w:t>
      </w:r>
      <w:r w:rsidR="0085071F" w:rsidRPr="00CC7062">
        <w:rPr>
          <w:rFonts w:ascii="Arial" w:eastAsia="Arial" w:hAnsi="Arial" w:cs="Arial"/>
        </w:rPr>
        <w:t>Some of these key elements include</w:t>
      </w:r>
      <w:r w:rsidRPr="00CC7062">
        <w:rPr>
          <w:rFonts w:ascii="Arial" w:eastAsia="Arial" w:hAnsi="Arial" w:cs="Arial"/>
        </w:rPr>
        <w:t xml:space="preserve"> the following</w:t>
      </w:r>
      <w:r w:rsidR="0085071F" w:rsidRPr="00CC7062">
        <w:rPr>
          <w:rFonts w:ascii="Arial" w:eastAsia="Arial" w:hAnsi="Arial" w:cs="Arial"/>
        </w:rPr>
        <w:t>:</w:t>
      </w:r>
    </w:p>
    <w:p w14:paraId="62C1922A" w14:textId="591A3327" w:rsidR="00604A11" w:rsidRPr="00CC7062" w:rsidRDefault="00604A11" w:rsidP="00604A11">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US-Mexico side letter establishing a broad scope of coverage for any grandfathering rights accorded to prior users by defining them to include all actors across the supply chain including producers, distributors, marketers, </w:t>
      </w:r>
      <w:proofErr w:type="gramStart"/>
      <w:r w:rsidRPr="00CC7062">
        <w:rPr>
          <w:rFonts w:ascii="Arial" w:eastAsia="Arial" w:hAnsi="Arial" w:cs="Arial"/>
        </w:rPr>
        <w:t>importers</w:t>
      </w:r>
      <w:proofErr w:type="gramEnd"/>
      <w:r w:rsidRPr="00CC7062">
        <w:rPr>
          <w:rFonts w:ascii="Arial" w:eastAsia="Arial" w:hAnsi="Arial" w:cs="Arial"/>
        </w:rPr>
        <w:t xml:space="preserve"> and exporters.</w:t>
      </w:r>
      <w:r w:rsidR="00F06F04" w:rsidRPr="00CC7062">
        <w:rPr>
          <w:rFonts w:ascii="Arial" w:eastAsia="Arial" w:hAnsi="Arial" w:cs="Arial"/>
        </w:rPr>
        <w:t xml:space="preserve"> It is adamantly important that Mexico comply fully with these requirements in order for the U.S. to fully benefit from USMCA.</w:t>
      </w:r>
    </w:p>
    <w:p w14:paraId="371150AA" w14:textId="3A141FDF" w:rsidR="00604A11" w:rsidRPr="00CC7062" w:rsidRDefault="00604A11" w:rsidP="00604A11">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US-Mexico side letter breaking new ground by creating for the first time in a U.S. trade treaty a non-exhaustive list of commonly used food terms that may not be restricted by Mexico moving forward.</w:t>
      </w:r>
    </w:p>
    <w:p w14:paraId="2E5069D1" w14:textId="50D29AD3" w:rsidR="00604A11" w:rsidRPr="00CC7062" w:rsidRDefault="00604A11" w:rsidP="00604A11">
      <w:pPr>
        <w:pStyle w:val="ListParagraph"/>
        <w:widowControl w:val="0"/>
        <w:numPr>
          <w:ilvl w:val="1"/>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Although this list omits some commercially critical terms such as parmesan, romano and others that must be included in future versions of this list, the side letter does contain numerous generic terms while establishing an extremely valuable new precedent for crafting greater market access certainty for U.S. exporters. </w:t>
      </w:r>
    </w:p>
    <w:p w14:paraId="63C83B7C" w14:textId="6F5ED7E2" w:rsidR="000D522E" w:rsidRPr="00CC7062" w:rsidRDefault="000D522E" w:rsidP="00B7238A">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Important d</w:t>
      </w:r>
      <w:r w:rsidR="0085071F" w:rsidRPr="00CC7062">
        <w:rPr>
          <w:rFonts w:ascii="Arial" w:eastAsia="Arial" w:hAnsi="Arial" w:cs="Arial"/>
        </w:rPr>
        <w:t xml:space="preserve">ue process procedures governing GI applications </w:t>
      </w:r>
      <w:r w:rsidRPr="00CC7062">
        <w:rPr>
          <w:rFonts w:ascii="Arial" w:eastAsia="Arial" w:hAnsi="Arial" w:cs="Arial"/>
        </w:rPr>
        <w:t>to create transparency and help provide tools to preserve the use of common food names throughout the course of GI consideration procedures</w:t>
      </w:r>
      <w:r w:rsidR="00604A11" w:rsidRPr="00CC7062">
        <w:rPr>
          <w:rFonts w:ascii="Arial" w:eastAsia="Arial" w:hAnsi="Arial" w:cs="Arial"/>
        </w:rPr>
        <w:t>.</w:t>
      </w:r>
    </w:p>
    <w:p w14:paraId="52A392C6" w14:textId="61EC69FF" w:rsidR="0085071F" w:rsidRPr="00CC7062" w:rsidRDefault="000D522E" w:rsidP="00B7238A">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 xml:space="preserve">Mandated government to government discussions to “pursue solutions to GI requests arising from trade treaties…[to] endeavor to reach </w:t>
      </w:r>
      <w:r w:rsidR="0085071F" w:rsidRPr="00CC7062">
        <w:rPr>
          <w:rFonts w:ascii="Arial" w:eastAsia="Arial" w:hAnsi="Arial" w:cs="Arial"/>
        </w:rPr>
        <w:t>mutually agreeable solution</w:t>
      </w:r>
      <w:r w:rsidRPr="00CC7062">
        <w:rPr>
          <w:rFonts w:ascii="Arial" w:eastAsia="Arial" w:hAnsi="Arial" w:cs="Arial"/>
        </w:rPr>
        <w:t>s</w:t>
      </w:r>
      <w:r w:rsidR="0085071F" w:rsidRPr="00CC7062">
        <w:rPr>
          <w:rFonts w:ascii="Arial" w:eastAsia="Arial" w:hAnsi="Arial" w:cs="Arial"/>
        </w:rPr>
        <w:t xml:space="preserve"> before taking measures in connection with future requests of recognition or protection of a geographical indication from any other country through a trade agreement”</w:t>
      </w:r>
      <w:r w:rsidR="00604A11" w:rsidRPr="00CC7062">
        <w:rPr>
          <w:rFonts w:ascii="Arial" w:eastAsia="Arial" w:hAnsi="Arial" w:cs="Arial"/>
        </w:rPr>
        <w:t>.</w:t>
      </w:r>
    </w:p>
    <w:p w14:paraId="569C3F0F" w14:textId="77777777" w:rsidR="00685D6D" w:rsidRPr="00CC7062" w:rsidRDefault="00685D6D" w:rsidP="00685D6D">
      <w:pPr>
        <w:pStyle w:val="ListParagraph"/>
        <w:widowControl w:val="0"/>
        <w:numPr>
          <w:ilvl w:val="0"/>
          <w:numId w:val="20"/>
        </w:numPr>
        <w:tabs>
          <w:tab w:val="left" w:pos="810"/>
        </w:tabs>
        <w:autoSpaceDE w:val="0"/>
        <w:autoSpaceDN w:val="0"/>
        <w:ind w:right="450"/>
        <w:jc w:val="both"/>
        <w:rPr>
          <w:rFonts w:ascii="Arial" w:eastAsia="Arial" w:hAnsi="Arial" w:cs="Arial"/>
        </w:rPr>
      </w:pPr>
      <w:r w:rsidRPr="00CC7062">
        <w:rPr>
          <w:rFonts w:ascii="Arial" w:eastAsia="Arial" w:hAnsi="Arial" w:cs="Arial"/>
        </w:rPr>
        <w:t>Inclusion of guidelines for determining whether a term is a customary term in the common language and of a specific provision that allows the protection of multi-component terms aimed to preserve the use of common food names throughout the course of GI consideration procedures.</w:t>
      </w:r>
    </w:p>
    <w:p w14:paraId="432BF40C" w14:textId="77777777" w:rsidR="00685D6D" w:rsidRPr="00CC7062" w:rsidRDefault="00685D6D" w:rsidP="00685D6D">
      <w:pPr>
        <w:pStyle w:val="ListParagraph"/>
        <w:widowControl w:val="0"/>
        <w:tabs>
          <w:tab w:val="left" w:pos="810"/>
        </w:tabs>
        <w:autoSpaceDE w:val="0"/>
        <w:autoSpaceDN w:val="0"/>
        <w:ind w:left="810" w:right="450"/>
        <w:jc w:val="both"/>
        <w:rPr>
          <w:rFonts w:ascii="Arial" w:eastAsia="Arial" w:hAnsi="Arial" w:cs="Arial"/>
          <w:bCs/>
        </w:rPr>
      </w:pPr>
    </w:p>
    <w:p w14:paraId="083E42C9" w14:textId="2E838793" w:rsidR="00685D6D" w:rsidRPr="00CC7062" w:rsidRDefault="00685D6D" w:rsidP="00685D6D">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We remain concerned that Mexico’s newly created IP law does not provide clear reference to implementing USMCA’s side letters as well as the agreement’s guidelines and provisions regarding the protection of multi-component terms. Further actions are needed to best implement these provisions so that the US fully reaps its investment made through the USMCA negotiations. We believe that Mexico’s implementing regulations on the IP law provide an optimal opportunity for pursuing this. </w:t>
      </w:r>
    </w:p>
    <w:p w14:paraId="5794C500" w14:textId="77777777" w:rsidR="00685D6D" w:rsidRPr="00CC7062" w:rsidRDefault="00685D6D" w:rsidP="00685D6D">
      <w:pPr>
        <w:pStyle w:val="ListParagraph"/>
        <w:widowControl w:val="0"/>
        <w:tabs>
          <w:tab w:val="left" w:pos="810"/>
        </w:tabs>
        <w:autoSpaceDE w:val="0"/>
        <w:autoSpaceDN w:val="0"/>
        <w:ind w:left="810" w:right="450"/>
        <w:jc w:val="both"/>
        <w:rPr>
          <w:rFonts w:ascii="Arial" w:eastAsia="Arial" w:hAnsi="Arial" w:cs="Arial"/>
          <w:bCs/>
        </w:rPr>
      </w:pPr>
    </w:p>
    <w:p w14:paraId="576B9ECE" w14:textId="03607846" w:rsidR="008B6050" w:rsidRPr="00CC7062" w:rsidRDefault="00685D6D" w:rsidP="00685D6D">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On a related front, this year Mexico is expected to sign its updated FTA wi</w:t>
      </w:r>
      <w:r w:rsidR="00604A11" w:rsidRPr="00CC7062">
        <w:rPr>
          <w:rFonts w:ascii="Arial" w:eastAsia="Arial" w:hAnsi="Arial" w:cs="Arial"/>
        </w:rPr>
        <w:t xml:space="preserve">th the EU. </w:t>
      </w:r>
      <w:r w:rsidR="00DE7AA2" w:rsidRPr="00CC7062">
        <w:rPr>
          <w:rFonts w:ascii="Arial" w:eastAsia="Arial" w:hAnsi="Arial" w:cs="Arial"/>
        </w:rPr>
        <w:t xml:space="preserve">CCFN remains </w:t>
      </w:r>
      <w:r w:rsidR="000D522E" w:rsidRPr="00CC7062">
        <w:rPr>
          <w:rFonts w:ascii="Arial" w:eastAsia="Arial" w:hAnsi="Arial" w:cs="Arial"/>
        </w:rPr>
        <w:t xml:space="preserve">deeply </w:t>
      </w:r>
      <w:r w:rsidR="00DE7AA2" w:rsidRPr="00CC7062">
        <w:rPr>
          <w:rFonts w:ascii="Arial" w:eastAsia="Arial" w:hAnsi="Arial" w:cs="Arial"/>
        </w:rPr>
        <w:t>disappointed in the Mexican government</w:t>
      </w:r>
      <w:r w:rsidR="00EA1CFC" w:rsidRPr="00CC7062">
        <w:rPr>
          <w:rFonts w:ascii="Arial" w:eastAsia="Arial" w:hAnsi="Arial" w:cs="Arial"/>
        </w:rPr>
        <w:t>’s</w:t>
      </w:r>
      <w:r w:rsidR="00784D80" w:rsidRPr="00CC7062">
        <w:rPr>
          <w:rFonts w:ascii="Arial" w:eastAsia="Arial" w:hAnsi="Arial" w:cs="Arial"/>
        </w:rPr>
        <w:t xml:space="preserve"> </w:t>
      </w:r>
      <w:r w:rsidR="00EA1CFC" w:rsidRPr="00CC7062">
        <w:rPr>
          <w:rFonts w:ascii="Arial" w:eastAsia="Arial" w:hAnsi="Arial" w:cs="Arial"/>
        </w:rPr>
        <w:t xml:space="preserve">decision to </w:t>
      </w:r>
      <w:r w:rsidR="00DE7AA2" w:rsidRPr="00CC7062">
        <w:rPr>
          <w:rFonts w:ascii="Arial" w:eastAsia="Arial" w:hAnsi="Arial" w:cs="Arial"/>
        </w:rPr>
        <w:t>surrend</w:t>
      </w:r>
      <w:r w:rsidR="00EA1CFC" w:rsidRPr="00CC7062">
        <w:rPr>
          <w:rFonts w:ascii="Arial" w:eastAsia="Arial" w:hAnsi="Arial" w:cs="Arial"/>
        </w:rPr>
        <w:t>er</w:t>
      </w:r>
      <w:r w:rsidR="00DE7AA2" w:rsidRPr="00CC7062">
        <w:rPr>
          <w:rFonts w:ascii="Arial" w:eastAsia="Arial" w:hAnsi="Arial" w:cs="Arial"/>
        </w:rPr>
        <w:t xml:space="preserve"> to EU </w:t>
      </w:r>
      <w:r w:rsidR="00784D80" w:rsidRPr="00CC7062">
        <w:rPr>
          <w:rFonts w:ascii="Arial" w:eastAsia="Arial" w:hAnsi="Arial" w:cs="Arial"/>
        </w:rPr>
        <w:t xml:space="preserve">demands </w:t>
      </w:r>
      <w:r w:rsidR="00EA1CFC" w:rsidRPr="00CC7062">
        <w:rPr>
          <w:rFonts w:ascii="Arial" w:eastAsia="Arial" w:hAnsi="Arial" w:cs="Arial"/>
        </w:rPr>
        <w:t xml:space="preserve">by </w:t>
      </w:r>
      <w:r w:rsidR="00DE7AA2" w:rsidRPr="00CC7062">
        <w:rPr>
          <w:rFonts w:ascii="Arial" w:eastAsia="Arial" w:hAnsi="Arial" w:cs="Arial"/>
        </w:rPr>
        <w:t>giv</w:t>
      </w:r>
      <w:r w:rsidR="00EA1CFC" w:rsidRPr="00CC7062">
        <w:rPr>
          <w:rFonts w:ascii="Arial" w:eastAsia="Arial" w:hAnsi="Arial" w:cs="Arial"/>
        </w:rPr>
        <w:t>ing</w:t>
      </w:r>
      <w:r w:rsidR="00DE7AA2" w:rsidRPr="00CC7062">
        <w:rPr>
          <w:rFonts w:ascii="Arial" w:eastAsia="Arial" w:hAnsi="Arial" w:cs="Arial"/>
        </w:rPr>
        <w:t xml:space="preserve"> up </w:t>
      </w:r>
      <w:proofErr w:type="gramStart"/>
      <w:r w:rsidR="00DE7AA2" w:rsidRPr="00CC7062">
        <w:rPr>
          <w:rFonts w:ascii="Arial" w:eastAsia="Arial" w:hAnsi="Arial" w:cs="Arial"/>
        </w:rPr>
        <w:t>a number of</w:t>
      </w:r>
      <w:proofErr w:type="gramEnd"/>
      <w:r w:rsidR="00DE7AA2" w:rsidRPr="00CC7062">
        <w:rPr>
          <w:rFonts w:ascii="Arial" w:eastAsia="Arial" w:hAnsi="Arial" w:cs="Arial"/>
        </w:rPr>
        <w:t xml:space="preserve"> </w:t>
      </w:r>
      <w:r w:rsidR="00604A11" w:rsidRPr="00CC7062">
        <w:rPr>
          <w:rFonts w:ascii="Arial" w:eastAsia="Arial" w:hAnsi="Arial" w:cs="Arial"/>
        </w:rPr>
        <w:t>widely</w:t>
      </w:r>
      <w:r w:rsidR="00DE7AA2" w:rsidRPr="00CC7062">
        <w:rPr>
          <w:rFonts w:ascii="Arial" w:eastAsia="Arial" w:hAnsi="Arial" w:cs="Arial"/>
        </w:rPr>
        <w:t xml:space="preserve"> used common </w:t>
      </w:r>
      <w:r w:rsidR="00604A11" w:rsidRPr="00CC7062">
        <w:rPr>
          <w:rFonts w:ascii="Arial" w:eastAsia="Arial" w:hAnsi="Arial" w:cs="Arial"/>
        </w:rPr>
        <w:t>terms</w:t>
      </w:r>
      <w:r w:rsidR="00DE7AA2" w:rsidRPr="00CC7062">
        <w:rPr>
          <w:rFonts w:ascii="Arial" w:eastAsia="Arial" w:hAnsi="Arial" w:cs="Arial"/>
        </w:rPr>
        <w:t xml:space="preserve"> in the Mexico-EU FTA</w:t>
      </w:r>
      <w:r w:rsidR="00604A11" w:rsidRPr="00CC7062">
        <w:rPr>
          <w:rFonts w:ascii="Arial" w:eastAsia="Arial" w:hAnsi="Arial" w:cs="Arial"/>
        </w:rPr>
        <w:t>.</w:t>
      </w:r>
      <w:r w:rsidR="00A20CB9" w:rsidRPr="00CC7062">
        <w:rPr>
          <w:rFonts w:ascii="Arial" w:eastAsia="Arial" w:hAnsi="Arial" w:cs="Arial"/>
        </w:rPr>
        <w:t xml:space="preserve"> CCFN firmly believes that these GIs were illegally granted by disregarding the evidence our organization submitted</w:t>
      </w:r>
      <w:r w:rsidR="0063143C" w:rsidRPr="00CC7062">
        <w:rPr>
          <w:rFonts w:ascii="Arial" w:eastAsia="Arial" w:hAnsi="Arial" w:cs="Arial"/>
        </w:rPr>
        <w:t xml:space="preserve">, which is why </w:t>
      </w:r>
      <w:r w:rsidR="00784D80" w:rsidRPr="00CC7062">
        <w:rPr>
          <w:rFonts w:ascii="Arial" w:eastAsia="Arial" w:hAnsi="Arial" w:cs="Arial"/>
        </w:rPr>
        <w:t>in 2018</w:t>
      </w:r>
      <w:r w:rsidR="0063143C" w:rsidRPr="00CC7062">
        <w:rPr>
          <w:rFonts w:ascii="Arial" w:eastAsia="Arial" w:hAnsi="Arial" w:cs="Arial"/>
        </w:rPr>
        <w:t xml:space="preserve"> </w:t>
      </w:r>
      <w:r w:rsidR="00784D80" w:rsidRPr="00CC7062">
        <w:rPr>
          <w:rFonts w:ascii="Arial" w:eastAsia="Arial" w:hAnsi="Arial" w:cs="Arial"/>
        </w:rPr>
        <w:t>we</w:t>
      </w:r>
      <w:r w:rsidR="0063143C" w:rsidRPr="00CC7062">
        <w:rPr>
          <w:rFonts w:ascii="Arial" w:eastAsia="Arial" w:hAnsi="Arial" w:cs="Arial"/>
        </w:rPr>
        <w:t xml:space="preserve"> filed </w:t>
      </w:r>
      <w:r w:rsidR="00784D80" w:rsidRPr="00CC7062">
        <w:rPr>
          <w:rFonts w:ascii="Arial" w:eastAsia="Arial" w:hAnsi="Arial" w:cs="Arial"/>
        </w:rPr>
        <w:t xml:space="preserve">several </w:t>
      </w:r>
      <w:r w:rsidR="0063143C" w:rsidRPr="00CC7062">
        <w:rPr>
          <w:rFonts w:ascii="Arial" w:eastAsia="Arial" w:hAnsi="Arial" w:cs="Arial"/>
        </w:rPr>
        <w:t xml:space="preserve">“amparos” (constitutional legal challenges) </w:t>
      </w:r>
      <w:r w:rsidR="00784D80" w:rsidRPr="00CC7062">
        <w:rPr>
          <w:rFonts w:ascii="Arial" w:eastAsia="Arial" w:hAnsi="Arial" w:cs="Arial"/>
        </w:rPr>
        <w:t>contesting t</w:t>
      </w:r>
      <w:r w:rsidR="0063143C" w:rsidRPr="00CC7062">
        <w:rPr>
          <w:rFonts w:ascii="Arial" w:eastAsia="Arial" w:hAnsi="Arial" w:cs="Arial"/>
        </w:rPr>
        <w:t>hese decisions</w:t>
      </w:r>
      <w:r w:rsidR="00A20CB9" w:rsidRPr="00CC7062">
        <w:rPr>
          <w:rFonts w:ascii="Arial" w:eastAsia="Arial" w:hAnsi="Arial" w:cs="Arial"/>
        </w:rPr>
        <w:t>.</w:t>
      </w:r>
      <w:r w:rsidR="0063143C" w:rsidRPr="00CC7062">
        <w:rPr>
          <w:rFonts w:ascii="Arial" w:eastAsia="Arial" w:hAnsi="Arial" w:cs="Arial"/>
        </w:rPr>
        <w:t xml:space="preserve"> </w:t>
      </w:r>
      <w:r w:rsidR="00784D80" w:rsidRPr="00CC7062">
        <w:rPr>
          <w:rFonts w:ascii="Arial" w:eastAsia="Arial" w:hAnsi="Arial" w:cs="Arial"/>
        </w:rPr>
        <w:t xml:space="preserve">Those cases have </w:t>
      </w:r>
      <w:r w:rsidR="00604A11" w:rsidRPr="00CC7062">
        <w:rPr>
          <w:rFonts w:ascii="Arial" w:eastAsia="Arial" w:hAnsi="Arial" w:cs="Arial"/>
        </w:rPr>
        <w:t>met with mixed results, in many cases stymied by the fact that the EU FTA has not yet been implemented, thereby impacting our standing with respect to demonstrating harm; however other rulings have indicated that although the Mexican government may have erred its courts cannot insist upon the need to follow Mexican law when those violations occurred as part of an international trade agreement.</w:t>
      </w:r>
      <w:r w:rsidR="00604A11" w:rsidRPr="00CC7062">
        <w:rPr>
          <w:rFonts w:ascii="Arial" w:eastAsia="Arial" w:hAnsi="Arial" w:cs="Arial"/>
          <w:bCs/>
        </w:rPr>
        <w:t xml:space="preserve"> </w:t>
      </w:r>
    </w:p>
    <w:p w14:paraId="5D1B51D7" w14:textId="77777777" w:rsidR="000E32D0" w:rsidRPr="00CC7062" w:rsidRDefault="000E32D0" w:rsidP="00B7238A">
      <w:pPr>
        <w:widowControl w:val="0"/>
        <w:tabs>
          <w:tab w:val="left" w:pos="810"/>
        </w:tabs>
        <w:autoSpaceDE w:val="0"/>
        <w:autoSpaceDN w:val="0"/>
        <w:ind w:left="810" w:right="450"/>
        <w:jc w:val="both"/>
        <w:rPr>
          <w:rFonts w:ascii="Arial" w:eastAsia="Arial" w:hAnsi="Arial" w:cs="Arial"/>
        </w:rPr>
      </w:pPr>
    </w:p>
    <w:p w14:paraId="0CDE1D7A" w14:textId="77777777" w:rsidR="0063143C" w:rsidRPr="00CC7062" w:rsidRDefault="0063143C" w:rsidP="00B7238A">
      <w:pPr>
        <w:pStyle w:val="ListParagraph"/>
        <w:widowControl w:val="0"/>
        <w:tabs>
          <w:tab w:val="left" w:pos="810"/>
        </w:tabs>
        <w:autoSpaceDE w:val="0"/>
        <w:autoSpaceDN w:val="0"/>
        <w:ind w:left="810" w:right="450"/>
        <w:jc w:val="both"/>
        <w:rPr>
          <w:rFonts w:ascii="Arial" w:eastAsia="Arial" w:hAnsi="Arial" w:cs="Arial"/>
          <w:b/>
        </w:rPr>
      </w:pPr>
    </w:p>
    <w:p w14:paraId="7C43A4F8" w14:textId="52471ADB" w:rsidR="00675598" w:rsidRPr="00CC7062" w:rsidRDefault="00DF763E" w:rsidP="00B7238A">
      <w:pPr>
        <w:pStyle w:val="ListParagraph"/>
        <w:widowControl w:val="0"/>
        <w:tabs>
          <w:tab w:val="left" w:pos="810"/>
        </w:tabs>
        <w:autoSpaceDE w:val="0"/>
        <w:autoSpaceDN w:val="0"/>
        <w:ind w:left="810" w:right="450"/>
        <w:jc w:val="both"/>
        <w:rPr>
          <w:rFonts w:ascii="Arial" w:eastAsia="Arial" w:hAnsi="Arial" w:cs="Arial"/>
          <w:b/>
          <w:lang w:val="es-GT"/>
        </w:rPr>
      </w:pPr>
      <w:r w:rsidRPr="00CC7062">
        <w:rPr>
          <w:rFonts w:ascii="Arial" w:eastAsia="Arial" w:hAnsi="Arial" w:cs="Arial"/>
          <w:b/>
          <w:lang w:val="es-GT"/>
        </w:rPr>
        <w:t xml:space="preserve">MERCOSUR: Argentina, </w:t>
      </w:r>
      <w:proofErr w:type="spellStart"/>
      <w:r w:rsidRPr="00CC7062">
        <w:rPr>
          <w:rFonts w:ascii="Arial" w:eastAsia="Arial" w:hAnsi="Arial" w:cs="Arial"/>
          <w:b/>
          <w:lang w:val="es-GT"/>
        </w:rPr>
        <w:t>Brazil</w:t>
      </w:r>
      <w:proofErr w:type="spellEnd"/>
      <w:r w:rsidRPr="00CC7062">
        <w:rPr>
          <w:rFonts w:ascii="Arial" w:eastAsia="Arial" w:hAnsi="Arial" w:cs="Arial"/>
          <w:b/>
          <w:lang w:val="es-GT"/>
        </w:rPr>
        <w:t>, Paraguay and Uruguay</w:t>
      </w:r>
    </w:p>
    <w:p w14:paraId="345039B8" w14:textId="525F9EA6" w:rsidR="00EF59CC" w:rsidRPr="00CC7062" w:rsidRDefault="004F5466"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June 2019 </w:t>
      </w:r>
      <w:r w:rsidR="00D76902" w:rsidRPr="00CC7062">
        <w:rPr>
          <w:rFonts w:ascii="Arial" w:eastAsia="Arial" w:hAnsi="Arial" w:cs="Arial"/>
        </w:rPr>
        <w:t xml:space="preserve">FTA </w:t>
      </w:r>
      <w:r w:rsidRPr="00CC7062">
        <w:rPr>
          <w:rFonts w:ascii="Arial" w:eastAsia="Arial" w:hAnsi="Arial" w:cs="Arial"/>
        </w:rPr>
        <w:t xml:space="preserve">negotiations </w:t>
      </w:r>
      <w:r w:rsidR="00832915" w:rsidRPr="00CC7062">
        <w:rPr>
          <w:rFonts w:ascii="Arial" w:eastAsia="Arial" w:hAnsi="Arial" w:cs="Arial"/>
        </w:rPr>
        <w:t xml:space="preserve">between the EU and the Mercosur bloc of countries </w:t>
      </w:r>
      <w:r w:rsidRPr="00CC7062">
        <w:rPr>
          <w:rFonts w:ascii="Arial" w:eastAsia="Arial" w:hAnsi="Arial" w:cs="Arial"/>
        </w:rPr>
        <w:t>concluded</w:t>
      </w:r>
      <w:r w:rsidR="00D76902" w:rsidRPr="00CC7062">
        <w:rPr>
          <w:rFonts w:ascii="Arial" w:eastAsia="Arial" w:hAnsi="Arial" w:cs="Arial"/>
        </w:rPr>
        <w:t xml:space="preserve">; in that agreement the EU government was able to secure registration of </w:t>
      </w:r>
      <w:proofErr w:type="gramStart"/>
      <w:r w:rsidR="00D76902" w:rsidRPr="00CC7062">
        <w:rPr>
          <w:rFonts w:ascii="Arial" w:eastAsia="Arial" w:hAnsi="Arial" w:cs="Arial"/>
        </w:rPr>
        <w:t>all of</w:t>
      </w:r>
      <w:proofErr w:type="gramEnd"/>
      <w:r w:rsidR="00D76902" w:rsidRPr="00CC7062">
        <w:rPr>
          <w:rFonts w:ascii="Arial" w:eastAsia="Arial" w:hAnsi="Arial" w:cs="Arial"/>
        </w:rPr>
        <w:t xml:space="preserve"> the GIs it sought despite wide-spread usage of numerous terms within Mercosur. That contradiction was dealt with </w:t>
      </w:r>
      <w:r w:rsidR="00EF59CC" w:rsidRPr="00CC7062">
        <w:rPr>
          <w:rFonts w:ascii="Arial" w:eastAsia="Arial" w:hAnsi="Arial" w:cs="Arial"/>
        </w:rPr>
        <w:t>through a combination of phase-out periods and grandfathering clauses – the very existence of these concessions indicates that the terms were already in generic usage in the Mercosur region and as such should have been rejected had the GI process been handled objectively and independently. The structure used by the Mercosur countries for companies to secure their prior user rights was</w:t>
      </w:r>
      <w:r w:rsidR="00685D6D" w:rsidRPr="00CC7062">
        <w:rPr>
          <w:rFonts w:ascii="Arial" w:eastAsia="Arial" w:hAnsi="Arial" w:cs="Arial"/>
        </w:rPr>
        <w:t xml:space="preserve"> non-transparent,</w:t>
      </w:r>
      <w:r w:rsidR="00EF59CC" w:rsidRPr="00CC7062">
        <w:rPr>
          <w:rFonts w:ascii="Arial" w:eastAsia="Arial" w:hAnsi="Arial" w:cs="Arial"/>
        </w:rPr>
        <w:t xml:space="preserve"> extremely burdensome and demonstrated how an onerous registration process can act as an even further hindrance on companies’ ability to </w:t>
      </w:r>
      <w:r w:rsidR="006E3857" w:rsidRPr="00CC7062">
        <w:rPr>
          <w:rFonts w:ascii="Arial" w:eastAsia="Arial" w:hAnsi="Arial" w:cs="Arial"/>
        </w:rPr>
        <w:t xml:space="preserve">defend even their prior usage of a term, let alone its continued generic status. </w:t>
      </w:r>
      <w:proofErr w:type="gramStart"/>
      <w:r w:rsidR="006E3857" w:rsidRPr="00CC7062">
        <w:rPr>
          <w:rFonts w:ascii="Arial" w:eastAsia="Arial" w:hAnsi="Arial" w:cs="Arial"/>
        </w:rPr>
        <w:t>The vast majority of</w:t>
      </w:r>
      <w:proofErr w:type="gramEnd"/>
      <w:r w:rsidR="006E3857" w:rsidRPr="00CC7062">
        <w:rPr>
          <w:rFonts w:ascii="Arial" w:eastAsia="Arial" w:hAnsi="Arial" w:cs="Arial"/>
        </w:rPr>
        <w:t xml:space="preserve"> the companies benefiting from these phase-out and grandfathering provisions were – as intended – domestic firms, thereby blocking future access opportunities to those markets for virtually all U.S. exporters for the relevant products.</w:t>
      </w:r>
    </w:p>
    <w:p w14:paraId="4A22D883" w14:textId="77777777" w:rsidR="00EF59CC" w:rsidRPr="00CC7062" w:rsidRDefault="00EF59CC" w:rsidP="00B7238A">
      <w:pPr>
        <w:widowControl w:val="0"/>
        <w:tabs>
          <w:tab w:val="left" w:pos="810"/>
        </w:tabs>
        <w:autoSpaceDE w:val="0"/>
        <w:autoSpaceDN w:val="0"/>
        <w:ind w:left="810" w:right="450"/>
        <w:jc w:val="both"/>
        <w:rPr>
          <w:rFonts w:ascii="Arial" w:eastAsia="Arial" w:hAnsi="Arial" w:cs="Arial"/>
        </w:rPr>
      </w:pPr>
    </w:p>
    <w:p w14:paraId="7737247C" w14:textId="07D63A4B" w:rsidR="00297A8A" w:rsidRPr="00CC7062" w:rsidRDefault="00832915" w:rsidP="00EF59CC">
      <w:pPr>
        <w:widowControl w:val="0"/>
        <w:tabs>
          <w:tab w:val="left" w:pos="810"/>
        </w:tabs>
        <w:autoSpaceDE w:val="0"/>
        <w:autoSpaceDN w:val="0"/>
        <w:ind w:left="810" w:right="450"/>
        <w:jc w:val="both"/>
        <w:rPr>
          <w:rFonts w:ascii="Arial" w:eastAsia="Arial" w:hAnsi="Arial" w:cs="Arial"/>
        </w:rPr>
      </w:pPr>
      <w:r w:rsidRPr="00CC7062">
        <w:rPr>
          <w:rFonts w:ascii="Arial" w:hAnsi="Arial" w:cs="Arial"/>
        </w:rPr>
        <w:t>L</w:t>
      </w:r>
      <w:r w:rsidR="00F5128A" w:rsidRPr="00CC7062">
        <w:rPr>
          <w:rFonts w:ascii="Arial" w:hAnsi="Arial" w:cs="Arial"/>
        </w:rPr>
        <w:t>eaked reports</w:t>
      </w:r>
      <w:r w:rsidR="00F5128A" w:rsidRPr="00CC7062">
        <w:rPr>
          <w:rStyle w:val="FootnoteReference"/>
          <w:rFonts w:ascii="Arial" w:hAnsi="Arial" w:cs="Arial"/>
        </w:rPr>
        <w:footnoteReference w:id="5"/>
      </w:r>
      <w:r w:rsidR="00EF59CC" w:rsidRPr="00CC7062">
        <w:rPr>
          <w:rFonts w:ascii="Arial" w:hAnsi="Arial" w:cs="Arial"/>
        </w:rPr>
        <w:t>,</w:t>
      </w:r>
      <w:r w:rsidRPr="00CC7062">
        <w:rPr>
          <w:rFonts w:ascii="Arial" w:hAnsi="Arial" w:cs="Arial"/>
        </w:rPr>
        <w:t xml:space="preserve"> as well as </w:t>
      </w:r>
      <w:r w:rsidR="00EF59CC" w:rsidRPr="00CC7062">
        <w:rPr>
          <w:rFonts w:ascii="Arial" w:hAnsi="Arial" w:cs="Arial"/>
        </w:rPr>
        <w:t xml:space="preserve">public </w:t>
      </w:r>
      <w:r w:rsidRPr="00CC7062">
        <w:rPr>
          <w:rFonts w:ascii="Arial" w:hAnsi="Arial" w:cs="Arial"/>
        </w:rPr>
        <w:t>interviews with the negotiators</w:t>
      </w:r>
      <w:r w:rsidR="00EF59CC" w:rsidRPr="00CC7062">
        <w:rPr>
          <w:rFonts w:ascii="Arial" w:hAnsi="Arial" w:cs="Arial"/>
        </w:rPr>
        <w:t xml:space="preserve"> and the very results of the GI registrations themselves, </w:t>
      </w:r>
      <w:r w:rsidRPr="00CC7062">
        <w:rPr>
          <w:rFonts w:ascii="Arial" w:hAnsi="Arial" w:cs="Arial"/>
        </w:rPr>
        <w:t xml:space="preserve">made it abundantly clear that the decisions on GIs were not made on their merits, but rather traded new bans on trade and competition for access to the EU market – thereby erecting trade barriers to Mercosur’s other competitors </w:t>
      </w:r>
      <w:proofErr w:type="gramStart"/>
      <w:r w:rsidRPr="00CC7062">
        <w:rPr>
          <w:rFonts w:ascii="Arial" w:hAnsi="Arial" w:cs="Arial"/>
        </w:rPr>
        <w:t>in order to</w:t>
      </w:r>
      <w:proofErr w:type="gramEnd"/>
      <w:r w:rsidRPr="00CC7062">
        <w:rPr>
          <w:rFonts w:ascii="Arial" w:hAnsi="Arial" w:cs="Arial"/>
        </w:rPr>
        <w:t xml:space="preserve"> effectively purchase market access expansions into the EU market.</w:t>
      </w:r>
      <w:r w:rsidR="00EF59CC" w:rsidRPr="00CC7062">
        <w:rPr>
          <w:rFonts w:ascii="Arial" w:hAnsi="Arial" w:cs="Arial"/>
        </w:rPr>
        <w:t xml:space="preserve"> </w:t>
      </w:r>
      <w:r w:rsidR="006E3857" w:rsidRPr="00CC7062">
        <w:rPr>
          <w:rFonts w:ascii="Arial" w:hAnsi="Arial" w:cs="Arial"/>
        </w:rPr>
        <w:t xml:space="preserve">Another indication of the faulty process followed was CCFN’s ability to secure the cancellation of a GI registered through the FTA process by clearly demonstrating to through the standard IP system channels in Brazil its generic nature; despite this it will gain protection again once the FTA takes effect. </w:t>
      </w:r>
    </w:p>
    <w:p w14:paraId="4F876546" w14:textId="77777777" w:rsidR="00297A8A" w:rsidRPr="00CC7062" w:rsidRDefault="00297A8A" w:rsidP="00B7238A">
      <w:pPr>
        <w:widowControl w:val="0"/>
        <w:tabs>
          <w:tab w:val="left" w:pos="810"/>
        </w:tabs>
        <w:autoSpaceDE w:val="0"/>
        <w:autoSpaceDN w:val="0"/>
        <w:ind w:left="810" w:right="450"/>
        <w:jc w:val="both"/>
        <w:rPr>
          <w:rFonts w:ascii="Arial" w:eastAsia="Arial" w:hAnsi="Arial" w:cs="Arial"/>
        </w:rPr>
      </w:pPr>
    </w:p>
    <w:p w14:paraId="319F98C7" w14:textId="1D1CA9C7" w:rsidR="004F5466" w:rsidRPr="00CC7062" w:rsidRDefault="00EF59CC"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On another front, </w:t>
      </w:r>
      <w:r w:rsidR="004F5466" w:rsidRPr="00CC7062">
        <w:rPr>
          <w:rFonts w:ascii="Arial" w:eastAsia="Arial" w:hAnsi="Arial" w:cs="Arial"/>
        </w:rPr>
        <w:t xml:space="preserve">EFTA-Mercosur </w:t>
      </w:r>
      <w:r w:rsidR="00832915" w:rsidRPr="00CC7062">
        <w:rPr>
          <w:rFonts w:ascii="Arial" w:eastAsia="Arial" w:hAnsi="Arial" w:cs="Arial"/>
        </w:rPr>
        <w:t xml:space="preserve">negotiations </w:t>
      </w:r>
      <w:r w:rsidR="00F06F04" w:rsidRPr="00CC7062">
        <w:rPr>
          <w:rFonts w:ascii="Arial" w:eastAsia="Arial" w:hAnsi="Arial" w:cs="Arial"/>
        </w:rPr>
        <w:t>continue,</w:t>
      </w:r>
      <w:r w:rsidRPr="00CC7062">
        <w:rPr>
          <w:rFonts w:ascii="Arial" w:eastAsia="Arial" w:hAnsi="Arial" w:cs="Arial"/>
        </w:rPr>
        <w:t xml:space="preserve"> </w:t>
      </w:r>
      <w:r w:rsidR="004F5466" w:rsidRPr="00CC7062">
        <w:rPr>
          <w:rFonts w:ascii="Arial" w:eastAsia="Arial" w:hAnsi="Arial" w:cs="Arial"/>
        </w:rPr>
        <w:t xml:space="preserve">and a list of GIs was published </w:t>
      </w:r>
      <w:r w:rsidRPr="00CC7062">
        <w:rPr>
          <w:rFonts w:ascii="Arial" w:eastAsia="Arial" w:hAnsi="Arial" w:cs="Arial"/>
        </w:rPr>
        <w:t>in 2019</w:t>
      </w:r>
      <w:r w:rsidR="00832915" w:rsidRPr="00CC7062">
        <w:rPr>
          <w:rFonts w:ascii="Arial" w:eastAsia="Arial" w:hAnsi="Arial" w:cs="Arial"/>
        </w:rPr>
        <w:t xml:space="preserve"> for public consideration</w:t>
      </w:r>
      <w:r w:rsidR="004F5466" w:rsidRPr="00CC7062">
        <w:rPr>
          <w:rFonts w:ascii="Arial" w:eastAsia="Arial" w:hAnsi="Arial" w:cs="Arial"/>
        </w:rPr>
        <w:t xml:space="preserve">. </w:t>
      </w:r>
      <w:r w:rsidR="00832915" w:rsidRPr="00CC7062">
        <w:rPr>
          <w:rFonts w:ascii="Arial" w:eastAsia="Arial" w:hAnsi="Arial" w:cs="Arial"/>
        </w:rPr>
        <w:t xml:space="preserve">Two terms </w:t>
      </w:r>
      <w:r w:rsidR="00685D6D" w:rsidRPr="00CC7062">
        <w:rPr>
          <w:rFonts w:ascii="Arial" w:eastAsia="Arial" w:hAnsi="Arial" w:cs="Arial"/>
        </w:rPr>
        <w:t xml:space="preserve">for which exclusive use is sought pose </w:t>
      </w:r>
      <w:proofErr w:type="gramStart"/>
      <w:r w:rsidR="00E227B3" w:rsidRPr="00CC7062">
        <w:rPr>
          <w:rFonts w:ascii="Arial" w:eastAsia="Arial" w:hAnsi="Arial" w:cs="Arial"/>
        </w:rPr>
        <w:t xml:space="preserve">particular </w:t>
      </w:r>
      <w:r w:rsidR="004F5466" w:rsidRPr="00CC7062">
        <w:rPr>
          <w:rFonts w:ascii="Arial" w:eastAsia="Arial" w:hAnsi="Arial" w:cs="Arial"/>
        </w:rPr>
        <w:t>concern</w:t>
      </w:r>
      <w:r w:rsidR="00685D6D" w:rsidRPr="00CC7062">
        <w:rPr>
          <w:rFonts w:ascii="Arial" w:eastAsia="Arial" w:hAnsi="Arial" w:cs="Arial"/>
        </w:rPr>
        <w:t>s</w:t>
      </w:r>
      <w:proofErr w:type="gramEnd"/>
      <w:r w:rsidR="004F5466" w:rsidRPr="00CC7062">
        <w:rPr>
          <w:rFonts w:ascii="Arial" w:eastAsia="Arial" w:hAnsi="Arial" w:cs="Arial"/>
        </w:rPr>
        <w:t xml:space="preserve">: </w:t>
      </w:r>
      <w:proofErr w:type="spellStart"/>
      <w:r w:rsidR="004F5466" w:rsidRPr="00CC7062">
        <w:rPr>
          <w:rFonts w:ascii="Arial" w:eastAsia="Arial" w:hAnsi="Arial" w:cs="Arial"/>
        </w:rPr>
        <w:t>emmental</w:t>
      </w:r>
      <w:proofErr w:type="spellEnd"/>
      <w:r w:rsidR="00E227B3" w:rsidRPr="00CC7062">
        <w:rPr>
          <w:rFonts w:ascii="Arial" w:eastAsia="Arial" w:hAnsi="Arial" w:cs="Arial"/>
        </w:rPr>
        <w:t xml:space="preserve"> (</w:t>
      </w:r>
      <w:r w:rsidR="004F5466" w:rsidRPr="00CC7062">
        <w:rPr>
          <w:rFonts w:ascii="Arial" w:eastAsia="Arial" w:hAnsi="Arial" w:cs="Arial"/>
        </w:rPr>
        <w:t xml:space="preserve">which has </w:t>
      </w:r>
      <w:r w:rsidR="00832915" w:rsidRPr="00CC7062">
        <w:rPr>
          <w:rFonts w:ascii="Arial" w:eastAsia="Arial" w:hAnsi="Arial" w:cs="Arial"/>
        </w:rPr>
        <w:t xml:space="preserve">a </w:t>
      </w:r>
      <w:r w:rsidR="004F5466" w:rsidRPr="00CC7062">
        <w:rPr>
          <w:rFonts w:ascii="Arial" w:eastAsia="Arial" w:hAnsi="Arial" w:cs="Arial"/>
        </w:rPr>
        <w:t>Codex Standard</w:t>
      </w:r>
      <w:r w:rsidR="00E227B3" w:rsidRPr="00CC7062">
        <w:rPr>
          <w:rFonts w:ascii="Arial" w:eastAsia="Arial" w:hAnsi="Arial" w:cs="Arial"/>
        </w:rPr>
        <w:t>)</w:t>
      </w:r>
      <w:r w:rsidR="004F5466" w:rsidRPr="00CC7062">
        <w:rPr>
          <w:rFonts w:ascii="Arial" w:eastAsia="Arial" w:hAnsi="Arial" w:cs="Arial"/>
        </w:rPr>
        <w:t xml:space="preserve"> and gruyere.</w:t>
      </w:r>
      <w:r w:rsidR="00832915" w:rsidRPr="00CC7062">
        <w:rPr>
          <w:rFonts w:ascii="Arial" w:eastAsia="Arial" w:hAnsi="Arial" w:cs="Arial"/>
        </w:rPr>
        <w:t xml:space="preserve"> In an ironic turn of events, even EU stakeholders joined with CCFN in voicing opposition to restrictions on one of these terms given its global use to describe a type of cheese. </w:t>
      </w:r>
    </w:p>
    <w:p w14:paraId="069A88F9" w14:textId="77777777" w:rsidR="00436EA4" w:rsidRPr="00CC7062" w:rsidRDefault="00436EA4" w:rsidP="00B7238A">
      <w:pPr>
        <w:widowControl w:val="0"/>
        <w:tabs>
          <w:tab w:val="left" w:pos="810"/>
        </w:tabs>
        <w:autoSpaceDE w:val="0"/>
        <w:autoSpaceDN w:val="0"/>
        <w:ind w:left="810" w:right="450"/>
        <w:jc w:val="both"/>
        <w:rPr>
          <w:rFonts w:ascii="Arial" w:eastAsia="Arial" w:hAnsi="Arial" w:cs="Arial"/>
        </w:rPr>
      </w:pPr>
    </w:p>
    <w:p w14:paraId="769F776F" w14:textId="33FBFC83" w:rsidR="006E3857" w:rsidRPr="00CC7062" w:rsidRDefault="00AB70D1"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We urge the Administration to</w:t>
      </w:r>
      <w:r w:rsidR="00E227B3" w:rsidRPr="00CC7062">
        <w:rPr>
          <w:rFonts w:ascii="Arial" w:eastAsia="Arial" w:hAnsi="Arial" w:cs="Arial"/>
        </w:rPr>
        <w:t xml:space="preserve"> be</w:t>
      </w:r>
      <w:r w:rsidR="00436EA4" w:rsidRPr="00CC7062">
        <w:rPr>
          <w:rFonts w:ascii="Arial" w:eastAsia="Arial" w:hAnsi="Arial" w:cs="Arial"/>
        </w:rPr>
        <w:t xml:space="preserve"> </w:t>
      </w:r>
      <w:r w:rsidR="00832915" w:rsidRPr="00CC7062">
        <w:rPr>
          <w:rFonts w:ascii="Arial" w:eastAsia="Arial" w:hAnsi="Arial" w:cs="Arial"/>
        </w:rPr>
        <w:t>active in engaging with these trading partners</w:t>
      </w:r>
      <w:r w:rsidR="00436EA4" w:rsidRPr="00CC7062">
        <w:rPr>
          <w:rFonts w:ascii="Arial" w:eastAsia="Arial" w:hAnsi="Arial" w:cs="Arial"/>
        </w:rPr>
        <w:t xml:space="preserve"> </w:t>
      </w:r>
      <w:r w:rsidR="006E3857" w:rsidRPr="00CC7062">
        <w:rPr>
          <w:rFonts w:ascii="Arial" w:eastAsia="Arial" w:hAnsi="Arial" w:cs="Arial"/>
        </w:rPr>
        <w:t>to address the negative impacts on U.S. exporters’ ability to access the</w:t>
      </w:r>
      <w:r w:rsidR="00533ECA" w:rsidRPr="00CC7062">
        <w:rPr>
          <w:rFonts w:ascii="Arial" w:eastAsia="Arial" w:hAnsi="Arial" w:cs="Arial"/>
        </w:rPr>
        <w:t>se</w:t>
      </w:r>
      <w:r w:rsidR="006E3857" w:rsidRPr="00CC7062">
        <w:rPr>
          <w:rFonts w:ascii="Arial" w:eastAsia="Arial" w:hAnsi="Arial" w:cs="Arial"/>
        </w:rPr>
        <w:t xml:space="preserve"> markets. </w:t>
      </w:r>
    </w:p>
    <w:p w14:paraId="78C9E937" w14:textId="77777777" w:rsidR="00AB70D1" w:rsidRPr="00CC7062" w:rsidRDefault="00AB70D1" w:rsidP="00B7238A">
      <w:pPr>
        <w:ind w:left="1080"/>
        <w:jc w:val="both"/>
        <w:rPr>
          <w:rFonts w:ascii="Arial" w:eastAsia="Arial" w:hAnsi="Arial" w:cs="Arial"/>
        </w:rPr>
      </w:pPr>
    </w:p>
    <w:p w14:paraId="5A309D9E" w14:textId="77777777" w:rsidR="00A05A4C" w:rsidRPr="00CC7062" w:rsidRDefault="00A05A4C" w:rsidP="00B7238A">
      <w:pPr>
        <w:ind w:left="1080"/>
        <w:jc w:val="both"/>
        <w:rPr>
          <w:rFonts w:ascii="Arial" w:eastAsia="Arial" w:hAnsi="Arial" w:cs="Arial"/>
        </w:rPr>
      </w:pPr>
    </w:p>
    <w:p w14:paraId="4A1CC317" w14:textId="39F0003B"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Morocco</w:t>
      </w:r>
    </w:p>
    <w:p w14:paraId="15946CE0" w14:textId="6839CCB5" w:rsidR="006A7475" w:rsidRPr="00CC7062" w:rsidRDefault="00675598" w:rsidP="00B7238A">
      <w:pPr>
        <w:widowControl w:val="0"/>
        <w:tabs>
          <w:tab w:val="left" w:pos="810"/>
        </w:tabs>
        <w:autoSpaceDE w:val="0"/>
        <w:autoSpaceDN w:val="0"/>
        <w:ind w:left="810" w:right="450"/>
        <w:jc w:val="both"/>
        <w:rPr>
          <w:rFonts w:ascii="Arial" w:eastAsia="Arial" w:hAnsi="Arial" w:cs="Arial"/>
          <w:spacing w:val="3"/>
        </w:rPr>
      </w:pPr>
      <w:r w:rsidRPr="00CC7062">
        <w:rPr>
          <w:rFonts w:ascii="Arial" w:eastAsia="Arial" w:hAnsi="Arial" w:cs="Arial"/>
        </w:rPr>
        <w:t>In 2015 Morocco and the EU announced that they had reached an agreement on GIs</w:t>
      </w:r>
      <w:r w:rsidR="006E3857" w:rsidRPr="00CC7062">
        <w:rPr>
          <w:rFonts w:ascii="Arial" w:eastAsia="Arial" w:hAnsi="Arial" w:cs="Arial"/>
        </w:rPr>
        <w:t>; to date it remains unimplemented, however</w:t>
      </w:r>
      <w:r w:rsidR="00784D80" w:rsidRPr="00CC7062">
        <w:rPr>
          <w:rFonts w:ascii="Arial" w:eastAsia="Arial" w:hAnsi="Arial" w:cs="Arial"/>
        </w:rPr>
        <w:t xml:space="preserve">. </w:t>
      </w:r>
      <w:r w:rsidR="00420B89" w:rsidRPr="00CC7062">
        <w:rPr>
          <w:rFonts w:ascii="Arial" w:eastAsia="Arial" w:hAnsi="Arial" w:cs="Arial"/>
        </w:rPr>
        <w:t xml:space="preserve">We remain </w:t>
      </w:r>
      <w:r w:rsidRPr="00CC7062">
        <w:rPr>
          <w:rFonts w:ascii="Arial" w:eastAsia="Arial" w:hAnsi="Arial" w:cs="Arial"/>
        </w:rPr>
        <w:t xml:space="preserve">concerned about the impact of this agreement </w:t>
      </w:r>
      <w:r w:rsidR="00420B89" w:rsidRPr="00CC7062">
        <w:rPr>
          <w:rFonts w:ascii="Arial" w:eastAsia="Arial" w:hAnsi="Arial" w:cs="Arial"/>
        </w:rPr>
        <w:t>on U.S. exports</w:t>
      </w:r>
      <w:r w:rsidR="00784D80" w:rsidRPr="00CC7062">
        <w:rPr>
          <w:rFonts w:ascii="Arial" w:eastAsia="Arial" w:hAnsi="Arial" w:cs="Arial"/>
        </w:rPr>
        <w:t xml:space="preserve"> and strongly urge work with </w:t>
      </w:r>
      <w:r w:rsidR="006A7475" w:rsidRPr="00CC7062">
        <w:rPr>
          <w:rFonts w:ascii="Arial" w:eastAsia="Arial" w:hAnsi="Arial" w:cs="Arial"/>
          <w:spacing w:val="3"/>
        </w:rPr>
        <w:t xml:space="preserve">Morocco to secure assurances about what the U.S. will continue to be permitted to ship </w:t>
      </w:r>
      <w:r w:rsidR="00784D80" w:rsidRPr="00CC7062">
        <w:rPr>
          <w:rFonts w:ascii="Arial" w:eastAsia="Arial" w:hAnsi="Arial" w:cs="Arial"/>
          <w:spacing w:val="3"/>
        </w:rPr>
        <w:t xml:space="preserve">to this FTA partner. It is essential that we retain the rights to export </w:t>
      </w:r>
      <w:r w:rsidR="00420B89" w:rsidRPr="00CC7062">
        <w:rPr>
          <w:rFonts w:ascii="Arial" w:eastAsia="Arial" w:hAnsi="Arial" w:cs="Arial"/>
          <w:spacing w:val="3"/>
        </w:rPr>
        <w:t xml:space="preserve">the full range of products </w:t>
      </w:r>
      <w:r w:rsidR="006A7475" w:rsidRPr="00CC7062">
        <w:rPr>
          <w:rFonts w:ascii="Arial" w:eastAsia="Arial" w:hAnsi="Arial" w:cs="Arial"/>
          <w:spacing w:val="3"/>
        </w:rPr>
        <w:t xml:space="preserve">to this </w:t>
      </w:r>
      <w:r w:rsidR="00420B89" w:rsidRPr="00CC7062">
        <w:rPr>
          <w:rFonts w:ascii="Arial" w:eastAsia="Arial" w:hAnsi="Arial" w:cs="Arial"/>
          <w:spacing w:val="3"/>
        </w:rPr>
        <w:t xml:space="preserve">market and to </w:t>
      </w:r>
      <w:r w:rsidR="006A7475" w:rsidRPr="00CC7062">
        <w:rPr>
          <w:rFonts w:ascii="Arial" w:eastAsia="Arial" w:hAnsi="Arial" w:cs="Arial"/>
          <w:spacing w:val="3"/>
        </w:rPr>
        <w:t xml:space="preserve">preserve the value of the market access concessions that the U.S. negotiated with Morocco. </w:t>
      </w:r>
    </w:p>
    <w:p w14:paraId="6CBC0771" w14:textId="17F86484" w:rsidR="00E15B6E" w:rsidRPr="00CC7062" w:rsidRDefault="00E15B6E" w:rsidP="00B7238A">
      <w:pPr>
        <w:widowControl w:val="0"/>
        <w:tabs>
          <w:tab w:val="left" w:pos="810"/>
        </w:tabs>
        <w:autoSpaceDE w:val="0"/>
        <w:autoSpaceDN w:val="0"/>
        <w:ind w:left="810" w:right="450"/>
        <w:jc w:val="both"/>
        <w:rPr>
          <w:rFonts w:ascii="Arial" w:eastAsia="Arial" w:hAnsi="Arial" w:cs="Arial"/>
        </w:rPr>
      </w:pPr>
    </w:p>
    <w:p w14:paraId="2F34DF17" w14:textId="77777777" w:rsidR="00B83E68" w:rsidRPr="00CC7062" w:rsidRDefault="00B83E68" w:rsidP="00B7238A">
      <w:pPr>
        <w:widowControl w:val="0"/>
        <w:tabs>
          <w:tab w:val="left" w:pos="810"/>
        </w:tabs>
        <w:autoSpaceDE w:val="0"/>
        <w:autoSpaceDN w:val="0"/>
        <w:ind w:left="810" w:right="450"/>
        <w:jc w:val="both"/>
        <w:rPr>
          <w:rFonts w:ascii="Arial" w:eastAsia="Arial" w:hAnsi="Arial" w:cs="Arial"/>
        </w:rPr>
      </w:pPr>
    </w:p>
    <w:p w14:paraId="02C691D6" w14:textId="04DA0E09" w:rsidR="009E7A59" w:rsidRPr="00CC7062" w:rsidRDefault="00827FE9" w:rsidP="00B7238A">
      <w:pPr>
        <w:widowControl w:val="0"/>
        <w:tabs>
          <w:tab w:val="left" w:pos="810"/>
        </w:tabs>
        <w:autoSpaceDE w:val="0"/>
        <w:autoSpaceDN w:val="0"/>
        <w:ind w:left="810" w:right="450"/>
        <w:jc w:val="both"/>
        <w:rPr>
          <w:rFonts w:ascii="Arial" w:eastAsia="Arial" w:hAnsi="Arial" w:cs="Arial"/>
          <w:b/>
        </w:rPr>
      </w:pPr>
      <w:r w:rsidRPr="00CC7062">
        <w:rPr>
          <w:rFonts w:ascii="Arial" w:eastAsia="Arial" w:hAnsi="Arial" w:cs="Arial"/>
          <w:b/>
        </w:rPr>
        <w:t>New Zealand</w:t>
      </w:r>
    </w:p>
    <w:p w14:paraId="6AD72E8A" w14:textId="2A0DD76C" w:rsidR="00827FE9" w:rsidRPr="00CC7062" w:rsidRDefault="00FD17FA"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New Zealand and the EU </w:t>
      </w:r>
      <w:r w:rsidR="00784D80" w:rsidRPr="00CC7062">
        <w:rPr>
          <w:rFonts w:ascii="Arial" w:eastAsia="Arial" w:hAnsi="Arial" w:cs="Arial"/>
        </w:rPr>
        <w:t>continue to advance t</w:t>
      </w:r>
      <w:r w:rsidRPr="00CC7062">
        <w:rPr>
          <w:rFonts w:ascii="Arial" w:eastAsia="Arial" w:hAnsi="Arial" w:cs="Arial"/>
        </w:rPr>
        <w:t>heir free trade agreement negotiations</w:t>
      </w:r>
      <w:r w:rsidR="00420B89" w:rsidRPr="00CC7062">
        <w:rPr>
          <w:rFonts w:ascii="Arial" w:eastAsia="Arial" w:hAnsi="Arial" w:cs="Arial"/>
        </w:rPr>
        <w:t>.</w:t>
      </w:r>
      <w:r w:rsidR="00784D80" w:rsidRPr="00CC7062">
        <w:rPr>
          <w:rFonts w:ascii="Arial" w:eastAsia="Arial" w:hAnsi="Arial" w:cs="Arial"/>
        </w:rPr>
        <w:t xml:space="preserve"> We note that </w:t>
      </w:r>
      <w:r w:rsidR="00420B89" w:rsidRPr="00CC7062">
        <w:rPr>
          <w:rFonts w:ascii="Arial" w:eastAsia="Arial" w:hAnsi="Arial" w:cs="Arial"/>
        </w:rPr>
        <w:t xml:space="preserve">New Zealand </w:t>
      </w:r>
      <w:r w:rsidR="00420B89" w:rsidRPr="00CC7062">
        <w:rPr>
          <w:rFonts w:ascii="Arial" w:eastAsia="Arial" w:hAnsi="Arial" w:cs="Arial"/>
          <w:bCs/>
        </w:rPr>
        <w:t xml:space="preserve">has a well-designed and highly functioning IP system in place already that is more than capable of providing reasonable protection to legitimate GIs; the fact that </w:t>
      </w:r>
      <w:r w:rsidR="00784D80" w:rsidRPr="00CC7062">
        <w:rPr>
          <w:rFonts w:ascii="Arial" w:eastAsia="Arial" w:hAnsi="Arial" w:cs="Arial"/>
          <w:bCs/>
        </w:rPr>
        <w:t>GIs</w:t>
      </w:r>
      <w:r w:rsidR="00420B89" w:rsidRPr="00CC7062">
        <w:rPr>
          <w:rFonts w:ascii="Arial" w:eastAsia="Arial" w:hAnsi="Arial" w:cs="Arial"/>
          <w:bCs/>
        </w:rPr>
        <w:t xml:space="preserve"> are instead being considered under the auspices of the FTA process </w:t>
      </w:r>
      <w:r w:rsidR="00B83E68" w:rsidRPr="00CC7062">
        <w:rPr>
          <w:rFonts w:ascii="Arial" w:eastAsia="Arial" w:hAnsi="Arial" w:cs="Arial"/>
          <w:bCs/>
        </w:rPr>
        <w:t xml:space="preserve">raises the likelihood of a result driven by the politics of negotiation rather than the substance of the GIs at issue. </w:t>
      </w:r>
      <w:r w:rsidR="00784D80" w:rsidRPr="00CC7062">
        <w:rPr>
          <w:rFonts w:ascii="Arial" w:eastAsia="Arial" w:hAnsi="Arial" w:cs="Arial"/>
          <w:bCs/>
        </w:rPr>
        <w:t>New Zealand has long been an ally on the topic of GIs; w</w:t>
      </w:r>
      <w:r w:rsidRPr="00CC7062">
        <w:rPr>
          <w:rFonts w:ascii="Arial" w:eastAsia="Arial" w:hAnsi="Arial" w:cs="Arial"/>
        </w:rPr>
        <w:t xml:space="preserve">e urge the </w:t>
      </w:r>
      <w:r w:rsidR="001D08D7" w:rsidRPr="00CC7062">
        <w:rPr>
          <w:rFonts w:ascii="Arial" w:eastAsia="Arial" w:hAnsi="Arial" w:cs="Arial"/>
        </w:rPr>
        <w:t>Administration</w:t>
      </w:r>
      <w:r w:rsidRPr="00CC7062">
        <w:rPr>
          <w:rFonts w:ascii="Arial" w:eastAsia="Arial" w:hAnsi="Arial" w:cs="Arial"/>
        </w:rPr>
        <w:t xml:space="preserve"> to </w:t>
      </w:r>
      <w:r w:rsidR="00B83E68" w:rsidRPr="00CC7062">
        <w:rPr>
          <w:rFonts w:ascii="Arial" w:eastAsia="Arial" w:hAnsi="Arial" w:cs="Arial"/>
        </w:rPr>
        <w:t xml:space="preserve">work </w:t>
      </w:r>
      <w:r w:rsidR="00AA1649" w:rsidRPr="00CC7062">
        <w:rPr>
          <w:rFonts w:ascii="Arial" w:eastAsia="Arial" w:hAnsi="Arial" w:cs="Arial"/>
        </w:rPr>
        <w:t xml:space="preserve">closely </w:t>
      </w:r>
      <w:r w:rsidR="00B83E68" w:rsidRPr="00CC7062">
        <w:rPr>
          <w:rFonts w:ascii="Arial" w:eastAsia="Arial" w:hAnsi="Arial" w:cs="Arial"/>
        </w:rPr>
        <w:t>with</w:t>
      </w:r>
      <w:r w:rsidR="001D08D7" w:rsidRPr="00CC7062">
        <w:rPr>
          <w:rFonts w:ascii="Arial" w:eastAsia="Arial" w:hAnsi="Arial" w:cs="Arial"/>
        </w:rPr>
        <w:t xml:space="preserve"> New Zealand regarding the importance of</w:t>
      </w:r>
      <w:r w:rsidRPr="00CC7062">
        <w:rPr>
          <w:rFonts w:ascii="Arial" w:eastAsia="Arial" w:hAnsi="Arial" w:cs="Arial"/>
        </w:rPr>
        <w:t xml:space="preserve"> safeguard</w:t>
      </w:r>
      <w:r w:rsidR="001D08D7" w:rsidRPr="00CC7062">
        <w:rPr>
          <w:rFonts w:ascii="Arial" w:eastAsia="Arial" w:hAnsi="Arial" w:cs="Arial"/>
        </w:rPr>
        <w:t>ing</w:t>
      </w:r>
      <w:r w:rsidRPr="00CC7062">
        <w:rPr>
          <w:rFonts w:ascii="Arial" w:eastAsia="Arial" w:hAnsi="Arial" w:cs="Arial"/>
        </w:rPr>
        <w:t xml:space="preserve"> common </w:t>
      </w:r>
      <w:r w:rsidR="006E3857" w:rsidRPr="00CC7062">
        <w:rPr>
          <w:rFonts w:ascii="Arial" w:eastAsia="Arial" w:hAnsi="Arial" w:cs="Arial"/>
        </w:rPr>
        <w:t>food and beverage terms</w:t>
      </w:r>
      <w:r w:rsidR="00EE27D6" w:rsidRPr="00CC7062">
        <w:rPr>
          <w:rFonts w:ascii="Arial" w:eastAsia="Arial" w:hAnsi="Arial" w:cs="Arial"/>
        </w:rPr>
        <w:t>.</w:t>
      </w:r>
    </w:p>
    <w:p w14:paraId="247425AE" w14:textId="16D6542A" w:rsidR="00B83E68" w:rsidRPr="00CC7062" w:rsidRDefault="00B83E68" w:rsidP="00B7238A">
      <w:pPr>
        <w:widowControl w:val="0"/>
        <w:tabs>
          <w:tab w:val="left" w:pos="810"/>
        </w:tabs>
        <w:autoSpaceDE w:val="0"/>
        <w:autoSpaceDN w:val="0"/>
        <w:ind w:left="810" w:right="450"/>
        <w:jc w:val="both"/>
        <w:rPr>
          <w:rFonts w:ascii="Arial" w:hAnsi="Arial"/>
          <w:b/>
        </w:rPr>
      </w:pPr>
    </w:p>
    <w:p w14:paraId="37677B77" w14:textId="77777777" w:rsidR="00B83E68" w:rsidRPr="00CC7062" w:rsidRDefault="00B83E68" w:rsidP="00B7238A">
      <w:pPr>
        <w:widowControl w:val="0"/>
        <w:tabs>
          <w:tab w:val="left" w:pos="810"/>
        </w:tabs>
        <w:autoSpaceDE w:val="0"/>
        <w:autoSpaceDN w:val="0"/>
        <w:ind w:left="810" w:right="450"/>
        <w:jc w:val="both"/>
        <w:rPr>
          <w:rFonts w:ascii="Arial" w:hAnsi="Arial"/>
          <w:b/>
        </w:rPr>
      </w:pPr>
    </w:p>
    <w:p w14:paraId="6766C9F3" w14:textId="7C31DA6D"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Peru</w:t>
      </w:r>
    </w:p>
    <w:p w14:paraId="11838451" w14:textId="77777777" w:rsidR="006E3857"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As part of the Peru-EU FTA, Peru </w:t>
      </w:r>
      <w:r w:rsidR="009D6D3A" w:rsidRPr="00CC7062">
        <w:rPr>
          <w:rFonts w:ascii="Arial" w:eastAsia="Arial" w:hAnsi="Arial" w:cs="Arial"/>
        </w:rPr>
        <w:t xml:space="preserve">granted protection </w:t>
      </w:r>
      <w:r w:rsidR="006E3857" w:rsidRPr="00CC7062">
        <w:rPr>
          <w:rFonts w:ascii="Arial" w:eastAsia="Arial" w:hAnsi="Arial" w:cs="Arial"/>
        </w:rPr>
        <w:t xml:space="preserve">at the request of the EU government </w:t>
      </w:r>
      <w:r w:rsidR="009D6D3A" w:rsidRPr="00CC7062">
        <w:rPr>
          <w:rFonts w:ascii="Arial" w:eastAsia="Arial" w:hAnsi="Arial" w:cs="Arial"/>
        </w:rPr>
        <w:t xml:space="preserve">to </w:t>
      </w:r>
      <w:r w:rsidR="00775B39" w:rsidRPr="00CC7062">
        <w:rPr>
          <w:rFonts w:ascii="Arial" w:eastAsia="Arial" w:hAnsi="Arial" w:cs="Arial"/>
        </w:rPr>
        <w:t xml:space="preserve">some </w:t>
      </w:r>
      <w:r w:rsidR="006E3857" w:rsidRPr="00CC7062">
        <w:rPr>
          <w:rFonts w:ascii="Arial" w:eastAsia="Arial" w:hAnsi="Arial" w:cs="Arial"/>
        </w:rPr>
        <w:t>commonly used</w:t>
      </w:r>
      <w:r w:rsidR="00775B39" w:rsidRPr="00CC7062">
        <w:rPr>
          <w:rFonts w:ascii="Arial" w:eastAsia="Arial" w:hAnsi="Arial" w:cs="Arial"/>
        </w:rPr>
        <w:t xml:space="preserve"> terms t</w:t>
      </w:r>
      <w:r w:rsidR="009D6D3A" w:rsidRPr="00CC7062">
        <w:rPr>
          <w:rFonts w:ascii="Arial" w:eastAsia="Arial" w:hAnsi="Arial" w:cs="Arial"/>
        </w:rPr>
        <w:t>hat were</w:t>
      </w:r>
      <w:r w:rsidR="006E3857" w:rsidRPr="00CC7062">
        <w:rPr>
          <w:rFonts w:ascii="Arial" w:eastAsia="Arial" w:hAnsi="Arial" w:cs="Arial"/>
        </w:rPr>
        <w:t xml:space="preserve"> at that time</w:t>
      </w:r>
      <w:r w:rsidR="009D6D3A" w:rsidRPr="00CC7062">
        <w:rPr>
          <w:rFonts w:ascii="Arial" w:eastAsia="Arial" w:hAnsi="Arial" w:cs="Arial"/>
        </w:rPr>
        <w:t xml:space="preserve"> generic in Peru </w:t>
      </w:r>
      <w:r w:rsidR="006E3857" w:rsidRPr="00CC7062">
        <w:rPr>
          <w:rFonts w:ascii="Arial" w:eastAsia="Arial" w:hAnsi="Arial" w:cs="Arial"/>
        </w:rPr>
        <w:t>(e.g., feta, which was previously not even primarily</w:t>
      </w:r>
      <w:r w:rsidRPr="00CC7062">
        <w:rPr>
          <w:rFonts w:ascii="Arial" w:eastAsia="Arial" w:hAnsi="Arial" w:cs="Arial"/>
        </w:rPr>
        <w:t xml:space="preserve"> sourced from Greece</w:t>
      </w:r>
      <w:r w:rsidR="006E3857" w:rsidRPr="00CC7062">
        <w:rPr>
          <w:rFonts w:ascii="Arial" w:eastAsia="Arial" w:hAnsi="Arial" w:cs="Arial"/>
        </w:rPr>
        <w:t xml:space="preserve"> in that market).</w:t>
      </w:r>
      <w:r w:rsidRPr="00CC7062">
        <w:rPr>
          <w:rFonts w:ascii="Arial" w:eastAsia="Arial" w:hAnsi="Arial" w:cs="Arial"/>
        </w:rPr>
        <w:t xml:space="preserve"> This action violated WTO rules and impaired the value of concessions granted to the U.S. under the U.S.-Peru FTA, which pre-dated the EU agreement. </w:t>
      </w:r>
      <w:r w:rsidR="006E3857" w:rsidRPr="00CC7062">
        <w:rPr>
          <w:rFonts w:ascii="Arial" w:eastAsia="Arial" w:hAnsi="Arial" w:cs="Arial"/>
        </w:rPr>
        <w:t>In 2019</w:t>
      </w:r>
      <w:r w:rsidR="00784D80" w:rsidRPr="00CC7062">
        <w:rPr>
          <w:rFonts w:ascii="Arial" w:eastAsia="Arial" w:hAnsi="Arial" w:cs="Arial"/>
        </w:rPr>
        <w:t xml:space="preserve"> Peru’s IP authorities </w:t>
      </w:r>
      <w:proofErr w:type="gramStart"/>
      <w:r w:rsidR="00784D80" w:rsidRPr="00CC7062">
        <w:rPr>
          <w:rFonts w:ascii="Arial" w:eastAsia="Arial" w:hAnsi="Arial" w:cs="Arial"/>
        </w:rPr>
        <w:t>entered into</w:t>
      </w:r>
      <w:proofErr w:type="gramEnd"/>
      <w:r w:rsidR="00784D80" w:rsidRPr="00CC7062">
        <w:rPr>
          <w:rFonts w:ascii="Arial" w:eastAsia="Arial" w:hAnsi="Arial" w:cs="Arial"/>
        </w:rPr>
        <w:t xml:space="preserve"> a partnership arrangement with the world’s leading proponent for excessive GI policies – the organization </w:t>
      </w:r>
      <w:proofErr w:type="spellStart"/>
      <w:r w:rsidR="00784D80" w:rsidRPr="00CC7062">
        <w:rPr>
          <w:rFonts w:ascii="Arial" w:eastAsia="Arial" w:hAnsi="Arial" w:cs="Arial"/>
        </w:rPr>
        <w:t>OriGIn</w:t>
      </w:r>
      <w:proofErr w:type="spellEnd"/>
      <w:r w:rsidR="00784D80" w:rsidRPr="00CC7062">
        <w:rPr>
          <w:rFonts w:ascii="Arial" w:eastAsia="Arial" w:hAnsi="Arial" w:cs="Arial"/>
        </w:rPr>
        <w:t xml:space="preserve">. We view this agreement with concern given its potential to influence </w:t>
      </w:r>
      <w:r w:rsidR="00832915" w:rsidRPr="00CC7062">
        <w:rPr>
          <w:rFonts w:ascii="Arial" w:eastAsia="Arial" w:hAnsi="Arial" w:cs="Arial"/>
        </w:rPr>
        <w:t xml:space="preserve">the degree of impartial treatment Peru is obligated to utilize with respect to GI applications. </w:t>
      </w:r>
    </w:p>
    <w:p w14:paraId="7B2DC95E" w14:textId="77777777" w:rsidR="006E3857" w:rsidRPr="00CC7062" w:rsidRDefault="006E3857" w:rsidP="00B7238A">
      <w:pPr>
        <w:widowControl w:val="0"/>
        <w:tabs>
          <w:tab w:val="left" w:pos="810"/>
        </w:tabs>
        <w:autoSpaceDE w:val="0"/>
        <w:autoSpaceDN w:val="0"/>
        <w:ind w:left="810" w:right="450"/>
        <w:jc w:val="both"/>
        <w:rPr>
          <w:rFonts w:ascii="Arial" w:eastAsia="Arial" w:hAnsi="Arial" w:cs="Arial"/>
        </w:rPr>
      </w:pPr>
    </w:p>
    <w:p w14:paraId="6D5E6690" w14:textId="7D77E233" w:rsidR="00675598" w:rsidRPr="00CC7062" w:rsidRDefault="00675598"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We urge </w:t>
      </w:r>
      <w:r w:rsidR="00775B39" w:rsidRPr="00CC7062">
        <w:rPr>
          <w:rFonts w:ascii="Arial" w:eastAsia="Arial" w:hAnsi="Arial" w:cs="Arial"/>
        </w:rPr>
        <w:t xml:space="preserve">continued engagement with </w:t>
      </w:r>
      <w:r w:rsidRPr="00CC7062">
        <w:rPr>
          <w:rFonts w:ascii="Arial" w:eastAsia="Arial" w:hAnsi="Arial" w:cs="Arial"/>
        </w:rPr>
        <w:t xml:space="preserve">Peru </w:t>
      </w:r>
      <w:r w:rsidR="00775B39" w:rsidRPr="00CC7062">
        <w:rPr>
          <w:rFonts w:ascii="Arial" w:eastAsia="Arial" w:hAnsi="Arial" w:cs="Arial"/>
        </w:rPr>
        <w:t>to</w:t>
      </w:r>
      <w:r w:rsidRPr="00CC7062">
        <w:rPr>
          <w:rFonts w:ascii="Arial" w:eastAsia="Arial" w:hAnsi="Arial" w:cs="Arial"/>
        </w:rPr>
        <w:t xml:space="preserve"> establish clear</w:t>
      </w:r>
      <w:r w:rsidR="00775B39" w:rsidRPr="00CC7062">
        <w:rPr>
          <w:rFonts w:ascii="Arial" w:eastAsia="Arial" w:hAnsi="Arial" w:cs="Arial"/>
        </w:rPr>
        <w:t>er</w:t>
      </w:r>
      <w:r w:rsidRPr="00CC7062">
        <w:rPr>
          <w:rFonts w:ascii="Arial" w:eastAsia="Arial" w:hAnsi="Arial" w:cs="Arial"/>
        </w:rPr>
        <w:t xml:space="preserve"> trading conditions for U.S. exporters</w:t>
      </w:r>
      <w:r w:rsidR="00832915" w:rsidRPr="00CC7062">
        <w:rPr>
          <w:rFonts w:ascii="Arial" w:eastAsia="Arial" w:hAnsi="Arial" w:cs="Arial"/>
        </w:rPr>
        <w:t xml:space="preserve">, strong safeguards for the use of common food names, and measures to </w:t>
      </w:r>
      <w:r w:rsidRPr="00CC7062">
        <w:rPr>
          <w:rFonts w:ascii="Arial" w:eastAsia="Arial" w:hAnsi="Arial" w:cs="Arial"/>
        </w:rPr>
        <w:t>ensure that the GIs registered are not protected in an overly expansive manner designed to hinder trade.</w:t>
      </w:r>
    </w:p>
    <w:p w14:paraId="57D25D14" w14:textId="77777777" w:rsidR="00270A21" w:rsidRPr="00CC7062" w:rsidRDefault="00270A21" w:rsidP="00B7238A">
      <w:pPr>
        <w:widowControl w:val="0"/>
        <w:tabs>
          <w:tab w:val="left" w:pos="810"/>
        </w:tabs>
        <w:autoSpaceDE w:val="0"/>
        <w:autoSpaceDN w:val="0"/>
        <w:ind w:left="810" w:right="450"/>
        <w:jc w:val="both"/>
        <w:rPr>
          <w:rFonts w:ascii="Arial" w:eastAsia="Arial" w:hAnsi="Arial" w:cs="Arial"/>
        </w:rPr>
      </w:pPr>
    </w:p>
    <w:p w14:paraId="24B5C75B" w14:textId="77777777" w:rsidR="00775B39" w:rsidRPr="00CC7062" w:rsidRDefault="00775B39" w:rsidP="00B7238A">
      <w:pPr>
        <w:widowControl w:val="0"/>
        <w:tabs>
          <w:tab w:val="left" w:pos="810"/>
        </w:tabs>
        <w:autoSpaceDE w:val="0"/>
        <w:autoSpaceDN w:val="0"/>
        <w:ind w:left="810" w:right="450"/>
        <w:jc w:val="both"/>
        <w:outlineLvl w:val="0"/>
        <w:rPr>
          <w:rFonts w:ascii="Arial" w:eastAsia="Arial" w:hAnsi="Arial" w:cs="Arial"/>
          <w:b/>
          <w:bCs/>
        </w:rPr>
      </w:pPr>
    </w:p>
    <w:p w14:paraId="3E51AA89" w14:textId="6CA8D9BB"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Philippines</w:t>
      </w:r>
    </w:p>
    <w:p w14:paraId="39F38882" w14:textId="17B2B1A9" w:rsidR="006A3D15" w:rsidRPr="00CC7062" w:rsidRDefault="00685D6D"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GIs are protected under the Trademarks section of the Intellectual Property Code as collective marks. Nevertheless, the </w:t>
      </w:r>
      <w:r w:rsidR="00675598" w:rsidRPr="00CC7062">
        <w:rPr>
          <w:rFonts w:ascii="Arial" w:eastAsia="Arial" w:hAnsi="Arial" w:cs="Arial"/>
        </w:rPr>
        <w:t xml:space="preserve">government of the Philippines </w:t>
      </w:r>
      <w:r w:rsidR="00723C08" w:rsidRPr="00CC7062">
        <w:rPr>
          <w:rFonts w:ascii="Arial" w:eastAsia="Arial" w:hAnsi="Arial" w:cs="Arial"/>
        </w:rPr>
        <w:t xml:space="preserve">has been </w:t>
      </w:r>
      <w:r w:rsidR="00675598" w:rsidRPr="00CC7062">
        <w:rPr>
          <w:rFonts w:ascii="Arial" w:eastAsia="Arial" w:hAnsi="Arial" w:cs="Arial"/>
        </w:rPr>
        <w:t>considering new regulatio</w:t>
      </w:r>
      <w:r w:rsidR="0037565A" w:rsidRPr="00CC7062">
        <w:rPr>
          <w:rFonts w:ascii="Arial" w:eastAsia="Arial" w:hAnsi="Arial" w:cs="Arial"/>
        </w:rPr>
        <w:t>ns on the protection of GIs</w:t>
      </w:r>
      <w:r w:rsidR="00C5507C" w:rsidRPr="00CC7062">
        <w:rPr>
          <w:rFonts w:ascii="Arial" w:eastAsia="Arial" w:hAnsi="Arial" w:cs="Arial"/>
        </w:rPr>
        <w:t xml:space="preserve"> over the course of the last few years</w:t>
      </w:r>
      <w:r w:rsidR="0037565A" w:rsidRPr="00CC7062">
        <w:rPr>
          <w:rFonts w:ascii="Arial" w:eastAsia="Arial" w:hAnsi="Arial" w:cs="Arial"/>
        </w:rPr>
        <w:t xml:space="preserve">. We </w:t>
      </w:r>
      <w:r w:rsidR="00675598" w:rsidRPr="00CC7062">
        <w:rPr>
          <w:rFonts w:ascii="Arial" w:eastAsia="Arial" w:hAnsi="Arial" w:cs="Arial"/>
        </w:rPr>
        <w:t xml:space="preserve">appreciate the </w:t>
      </w:r>
      <w:r w:rsidR="0037565A" w:rsidRPr="00CC7062">
        <w:rPr>
          <w:rFonts w:ascii="Arial" w:eastAsia="Arial" w:hAnsi="Arial" w:cs="Arial"/>
        </w:rPr>
        <w:t>U.S. government’s</w:t>
      </w:r>
      <w:r w:rsidR="00675598" w:rsidRPr="00CC7062">
        <w:rPr>
          <w:rFonts w:ascii="Arial" w:eastAsia="Arial" w:hAnsi="Arial" w:cs="Arial"/>
        </w:rPr>
        <w:t xml:space="preserve"> proactive </w:t>
      </w:r>
      <w:r w:rsidR="00D65010" w:rsidRPr="00CC7062">
        <w:rPr>
          <w:rFonts w:ascii="Arial" w:eastAsia="Arial" w:hAnsi="Arial" w:cs="Arial"/>
        </w:rPr>
        <w:t xml:space="preserve">education and outreach </w:t>
      </w:r>
      <w:r w:rsidR="00675598" w:rsidRPr="00CC7062">
        <w:rPr>
          <w:rFonts w:ascii="Arial" w:eastAsia="Arial" w:hAnsi="Arial" w:cs="Arial"/>
        </w:rPr>
        <w:t>work with the Philippines throughout that process</w:t>
      </w:r>
      <w:r w:rsidR="00D65010" w:rsidRPr="00CC7062">
        <w:rPr>
          <w:rFonts w:ascii="Arial" w:eastAsia="Arial" w:hAnsi="Arial" w:cs="Arial"/>
        </w:rPr>
        <w:t xml:space="preserve">. We also </w:t>
      </w:r>
      <w:r w:rsidR="006E3857" w:rsidRPr="00CC7062">
        <w:rPr>
          <w:rFonts w:ascii="Arial" w:eastAsia="Arial" w:hAnsi="Arial" w:cs="Arial"/>
        </w:rPr>
        <w:t>appreciate</w:t>
      </w:r>
      <w:r w:rsidR="00D65010" w:rsidRPr="00CC7062">
        <w:rPr>
          <w:rFonts w:ascii="Arial" w:eastAsia="Arial" w:hAnsi="Arial" w:cs="Arial"/>
        </w:rPr>
        <w:t xml:space="preserve"> the Philippine government’s openness to date to the importance of ensuring that a GI system is not abused to restrict the use of common food names</w:t>
      </w:r>
      <w:r w:rsidR="006E3857" w:rsidRPr="00CC7062">
        <w:rPr>
          <w:rFonts w:ascii="Arial" w:eastAsia="Arial" w:hAnsi="Arial" w:cs="Arial"/>
        </w:rPr>
        <w:t xml:space="preserve"> and seek to ensure that the “short-circuit” approach that has at times been contemplated for foreign GIs via FTAs is rejected</w:t>
      </w:r>
      <w:r w:rsidR="00D65010" w:rsidRPr="00CC7062">
        <w:rPr>
          <w:rFonts w:ascii="Arial" w:eastAsia="Arial" w:hAnsi="Arial" w:cs="Arial"/>
        </w:rPr>
        <w:t xml:space="preserve">. </w:t>
      </w:r>
    </w:p>
    <w:p w14:paraId="05468FA5" w14:textId="77777777" w:rsidR="006A3D15" w:rsidRPr="00CC7062" w:rsidRDefault="006A3D15" w:rsidP="00B7238A">
      <w:pPr>
        <w:widowControl w:val="0"/>
        <w:tabs>
          <w:tab w:val="left" w:pos="810"/>
        </w:tabs>
        <w:autoSpaceDE w:val="0"/>
        <w:autoSpaceDN w:val="0"/>
        <w:ind w:left="810" w:right="450"/>
        <w:jc w:val="both"/>
        <w:rPr>
          <w:rFonts w:ascii="Arial" w:eastAsia="Arial" w:hAnsi="Arial" w:cs="Arial"/>
        </w:rPr>
      </w:pPr>
    </w:p>
    <w:p w14:paraId="1B80A436" w14:textId="5942EFD2" w:rsidR="006A3D15" w:rsidRPr="00CC7062" w:rsidRDefault="00C5507C" w:rsidP="00B7238A">
      <w:pPr>
        <w:widowControl w:val="0"/>
        <w:tabs>
          <w:tab w:val="left" w:pos="810"/>
        </w:tabs>
        <w:autoSpaceDE w:val="0"/>
        <w:autoSpaceDN w:val="0"/>
        <w:ind w:left="810" w:right="450"/>
        <w:jc w:val="both"/>
        <w:rPr>
          <w:rFonts w:ascii="Arial" w:eastAsia="Arial" w:hAnsi="Arial" w:cs="Arial"/>
          <w:spacing w:val="2"/>
        </w:rPr>
      </w:pPr>
      <w:r w:rsidRPr="00CC7062">
        <w:rPr>
          <w:rFonts w:ascii="Arial" w:eastAsia="Arial" w:hAnsi="Arial" w:cs="Arial"/>
        </w:rPr>
        <w:t xml:space="preserve">We continue to rely on the </w:t>
      </w:r>
      <w:r w:rsidR="006A3D15" w:rsidRPr="00CC7062">
        <w:rPr>
          <w:rFonts w:ascii="Arial" w:eastAsia="Arial" w:hAnsi="Arial" w:cs="Arial"/>
        </w:rPr>
        <w:t xml:space="preserve">agreement </w:t>
      </w:r>
      <w:r w:rsidRPr="00CC7062">
        <w:rPr>
          <w:rFonts w:ascii="Arial" w:eastAsia="Arial" w:hAnsi="Arial" w:cs="Arial"/>
        </w:rPr>
        <w:t xml:space="preserve">struck by USTR </w:t>
      </w:r>
      <w:r w:rsidR="006A3D15" w:rsidRPr="00CC7062">
        <w:rPr>
          <w:rFonts w:ascii="Arial" w:eastAsia="Arial" w:hAnsi="Arial" w:cs="Arial"/>
        </w:rPr>
        <w:t xml:space="preserve">with the Philippine government regarding the need to </w:t>
      </w:r>
      <w:r w:rsidR="006A3D15" w:rsidRPr="00CC7062">
        <w:rPr>
          <w:rFonts w:ascii="Arial" w:eastAsia="Arial" w:hAnsi="Arial" w:cs="Arial"/>
          <w:spacing w:val="2"/>
        </w:rPr>
        <w:t xml:space="preserve">handle GI applications in a fair, transparent manner that respects common name users.  As USTR’s statement indicated: </w:t>
      </w:r>
    </w:p>
    <w:p w14:paraId="0446C730" w14:textId="48C7291A" w:rsidR="006A3D15" w:rsidRPr="00CC7062" w:rsidRDefault="006A3D15" w:rsidP="00B7238A">
      <w:pPr>
        <w:widowControl w:val="0"/>
        <w:tabs>
          <w:tab w:val="left" w:pos="810"/>
        </w:tabs>
        <w:autoSpaceDE w:val="0"/>
        <w:autoSpaceDN w:val="0"/>
        <w:ind w:left="1440" w:right="450"/>
        <w:jc w:val="both"/>
        <w:rPr>
          <w:rFonts w:ascii="Arial" w:eastAsia="Arial" w:hAnsi="Arial" w:cs="Arial"/>
          <w:i/>
          <w:spacing w:val="2"/>
        </w:rPr>
      </w:pPr>
      <w:r w:rsidRPr="00CC7062">
        <w:rPr>
          <w:rFonts w:ascii="Arial" w:eastAsia="Arial" w:hAnsi="Arial" w:cs="Arial"/>
          <w:i/>
          <w:spacing w:val="2"/>
        </w:rPr>
        <w:t>“The United States notes that the Philippines is continuing to protect geographical indications (GIs) in a manner mutually beneficial to both countries by ensuring transparency, due process, and fairness in the laws, regulations, and practices that provide for the protection of GIs, including by respecting prior trademark rights and not restricting the use of common names.”</w:t>
      </w:r>
    </w:p>
    <w:p w14:paraId="1C1C49C5" w14:textId="77777777" w:rsidR="006A3D15" w:rsidRPr="00CC7062" w:rsidRDefault="006A3D15" w:rsidP="00B7238A">
      <w:pPr>
        <w:widowControl w:val="0"/>
        <w:tabs>
          <w:tab w:val="left" w:pos="810"/>
        </w:tabs>
        <w:autoSpaceDE w:val="0"/>
        <w:autoSpaceDN w:val="0"/>
        <w:ind w:left="810" w:right="450"/>
        <w:jc w:val="both"/>
        <w:rPr>
          <w:rFonts w:ascii="Arial" w:eastAsia="Arial" w:hAnsi="Arial" w:cs="Arial"/>
        </w:rPr>
      </w:pPr>
    </w:p>
    <w:p w14:paraId="5F3113A6" w14:textId="4DDB627A" w:rsidR="00733683" w:rsidRPr="00CC7062" w:rsidRDefault="006A3D1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The logical next step in this sustained and positive engagement with the Philippines should be to secure more direct assurances safeguarding the use of commercially important common names to guard against EU efforts in its FTA talks with the Philippines to restrict the use of those terms.</w:t>
      </w:r>
    </w:p>
    <w:p w14:paraId="745DC483" w14:textId="77777777" w:rsidR="006A3D15" w:rsidRPr="00CC7062" w:rsidRDefault="006A3D15" w:rsidP="00B7238A">
      <w:pPr>
        <w:widowControl w:val="0"/>
        <w:tabs>
          <w:tab w:val="left" w:pos="810"/>
        </w:tabs>
        <w:autoSpaceDE w:val="0"/>
        <w:autoSpaceDN w:val="0"/>
        <w:ind w:left="810" w:right="450"/>
        <w:jc w:val="both"/>
        <w:rPr>
          <w:rFonts w:ascii="Arial" w:eastAsia="Arial" w:hAnsi="Arial" w:cs="Arial"/>
        </w:rPr>
      </w:pPr>
    </w:p>
    <w:p w14:paraId="01969977" w14:textId="77777777" w:rsidR="006A3D15" w:rsidRPr="00CC7062" w:rsidRDefault="006A3D15" w:rsidP="00B7238A">
      <w:pPr>
        <w:widowControl w:val="0"/>
        <w:tabs>
          <w:tab w:val="left" w:pos="810"/>
        </w:tabs>
        <w:autoSpaceDE w:val="0"/>
        <w:autoSpaceDN w:val="0"/>
        <w:ind w:left="810" w:right="450"/>
        <w:jc w:val="both"/>
        <w:rPr>
          <w:rFonts w:ascii="Arial" w:eastAsia="Arial" w:hAnsi="Arial" w:cs="Arial"/>
        </w:rPr>
      </w:pPr>
    </w:p>
    <w:p w14:paraId="5859F297" w14:textId="32F566AF" w:rsidR="00AB70D1" w:rsidRPr="00CC7062" w:rsidRDefault="006E4970" w:rsidP="00B7238A">
      <w:pPr>
        <w:widowControl w:val="0"/>
        <w:tabs>
          <w:tab w:val="left" w:pos="810"/>
        </w:tabs>
        <w:autoSpaceDE w:val="0"/>
        <w:autoSpaceDN w:val="0"/>
        <w:ind w:left="810" w:right="450"/>
        <w:jc w:val="both"/>
        <w:rPr>
          <w:rFonts w:ascii="Arial" w:eastAsia="Arial" w:hAnsi="Arial" w:cs="Arial"/>
          <w:b/>
        </w:rPr>
      </w:pPr>
      <w:r w:rsidRPr="00CC7062">
        <w:rPr>
          <w:rFonts w:ascii="Arial" w:eastAsia="Arial" w:hAnsi="Arial" w:cs="Arial"/>
          <w:b/>
        </w:rPr>
        <w:t>Russia:</w:t>
      </w:r>
    </w:p>
    <w:p w14:paraId="04150EB9" w14:textId="386E7FB9" w:rsidR="00583639" w:rsidRPr="00CC7062" w:rsidRDefault="00583639"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In 2018 Russia started a process of reviewing a draft bill </w:t>
      </w:r>
      <w:r w:rsidR="006A3D15" w:rsidRPr="00CC7062">
        <w:rPr>
          <w:rFonts w:ascii="Arial" w:eastAsia="Arial" w:hAnsi="Arial" w:cs="Arial"/>
        </w:rPr>
        <w:t xml:space="preserve">amending its regulations on GIs. </w:t>
      </w:r>
      <w:r w:rsidRPr="00CC7062">
        <w:rPr>
          <w:rFonts w:ascii="Arial" w:eastAsia="Arial" w:hAnsi="Arial" w:cs="Arial"/>
        </w:rPr>
        <w:t xml:space="preserve">The bill was published for comments and CCFN filed comments </w:t>
      </w:r>
      <w:r w:rsidR="00C5507C" w:rsidRPr="00CC7062">
        <w:rPr>
          <w:rFonts w:ascii="Arial" w:eastAsia="Arial" w:hAnsi="Arial" w:cs="Arial"/>
        </w:rPr>
        <w:t>in response</w:t>
      </w:r>
      <w:r w:rsidRPr="00CC7062">
        <w:rPr>
          <w:rFonts w:ascii="Arial" w:eastAsia="Arial" w:hAnsi="Arial" w:cs="Arial"/>
        </w:rPr>
        <w:t xml:space="preserve">. </w:t>
      </w:r>
      <w:r w:rsidR="006A3D15" w:rsidRPr="00CC7062">
        <w:rPr>
          <w:rFonts w:ascii="Arial" w:eastAsia="Arial" w:hAnsi="Arial" w:cs="Arial"/>
        </w:rPr>
        <w:t xml:space="preserve">As with all GI regulations it is important to ensure that such procedures provide not only an avenue to protect legitimate GIs but also the means to sufficiently safeguard </w:t>
      </w:r>
      <w:r w:rsidR="002A44C5" w:rsidRPr="00CC7062">
        <w:rPr>
          <w:rFonts w:ascii="Arial" w:eastAsia="Arial" w:hAnsi="Arial" w:cs="Arial"/>
        </w:rPr>
        <w:t xml:space="preserve">the use of terms already in the common domain. </w:t>
      </w:r>
      <w:r w:rsidR="00CC7062" w:rsidRPr="00CC7062">
        <w:rPr>
          <w:rFonts w:ascii="Arial" w:eastAsia="Arial" w:hAnsi="Arial" w:cs="Arial"/>
        </w:rPr>
        <w:t>To the best of our knowledge, Russia has yet to implement th</w:t>
      </w:r>
      <w:r w:rsidR="00C5507C" w:rsidRPr="00CC7062">
        <w:rPr>
          <w:rFonts w:ascii="Arial" w:eastAsia="Arial" w:hAnsi="Arial" w:cs="Arial"/>
        </w:rPr>
        <w:t>is regulation.</w:t>
      </w:r>
      <w:r w:rsidR="006E3857" w:rsidRPr="00CC7062">
        <w:rPr>
          <w:rFonts w:ascii="Arial" w:eastAsia="Arial" w:hAnsi="Arial" w:cs="Arial"/>
        </w:rPr>
        <w:t xml:space="preserve"> Separately, we commend Russia for its maintenance of a trademark opposition process that is relatively user-friendly and low-cost. </w:t>
      </w:r>
    </w:p>
    <w:p w14:paraId="0B7115A7" w14:textId="3DBE274E" w:rsidR="006E4970" w:rsidRPr="00CC7062" w:rsidRDefault="006E4970" w:rsidP="00B7238A">
      <w:pPr>
        <w:widowControl w:val="0"/>
        <w:tabs>
          <w:tab w:val="left" w:pos="810"/>
        </w:tabs>
        <w:autoSpaceDE w:val="0"/>
        <w:autoSpaceDN w:val="0"/>
        <w:ind w:left="810" w:right="450"/>
        <w:jc w:val="both"/>
        <w:rPr>
          <w:rFonts w:ascii="Arial" w:eastAsia="Arial" w:hAnsi="Arial" w:cs="Arial"/>
        </w:rPr>
      </w:pPr>
    </w:p>
    <w:p w14:paraId="2490ABEB" w14:textId="77777777" w:rsidR="006E4970" w:rsidRPr="00CC7062" w:rsidRDefault="006E4970" w:rsidP="00B7238A">
      <w:pPr>
        <w:widowControl w:val="0"/>
        <w:tabs>
          <w:tab w:val="left" w:pos="810"/>
        </w:tabs>
        <w:autoSpaceDE w:val="0"/>
        <w:autoSpaceDN w:val="0"/>
        <w:ind w:left="810" w:right="450"/>
        <w:jc w:val="both"/>
        <w:rPr>
          <w:rFonts w:ascii="Arial" w:hAnsi="Arial"/>
          <w:b/>
        </w:rPr>
      </w:pPr>
    </w:p>
    <w:p w14:paraId="3934244E" w14:textId="4045EF68" w:rsidR="00723C08" w:rsidRPr="00CC7062" w:rsidRDefault="0008062E" w:rsidP="00B7238A">
      <w:pPr>
        <w:widowControl w:val="0"/>
        <w:tabs>
          <w:tab w:val="left" w:pos="810"/>
        </w:tabs>
        <w:autoSpaceDE w:val="0"/>
        <w:autoSpaceDN w:val="0"/>
        <w:ind w:left="810" w:right="450"/>
        <w:jc w:val="both"/>
        <w:rPr>
          <w:rFonts w:ascii="Arial" w:eastAsia="Arial" w:hAnsi="Arial" w:cs="Arial"/>
          <w:b/>
        </w:rPr>
      </w:pPr>
      <w:r w:rsidRPr="00CC7062">
        <w:rPr>
          <w:rFonts w:ascii="Arial" w:eastAsia="Arial" w:hAnsi="Arial" w:cs="Arial"/>
          <w:b/>
        </w:rPr>
        <w:t>Singapore:</w:t>
      </w:r>
    </w:p>
    <w:p w14:paraId="2EAD04D9" w14:textId="24097C86" w:rsidR="009F0705" w:rsidRPr="00CC7062" w:rsidRDefault="0083291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The</w:t>
      </w:r>
      <w:r w:rsidR="00B15BAE" w:rsidRPr="00CC7062">
        <w:rPr>
          <w:rFonts w:ascii="Arial" w:eastAsia="Arial" w:hAnsi="Arial" w:cs="Arial"/>
        </w:rPr>
        <w:t xml:space="preserve"> EU-Singapore FTA </w:t>
      </w:r>
      <w:r w:rsidR="007E7E7C" w:rsidRPr="00CC7062">
        <w:rPr>
          <w:rFonts w:ascii="Arial" w:eastAsia="Arial" w:hAnsi="Arial" w:cs="Arial"/>
        </w:rPr>
        <w:t>enter</w:t>
      </w:r>
      <w:r w:rsidRPr="00CC7062">
        <w:rPr>
          <w:rFonts w:ascii="Arial" w:eastAsia="Arial" w:hAnsi="Arial" w:cs="Arial"/>
        </w:rPr>
        <w:t>ed</w:t>
      </w:r>
      <w:r w:rsidR="007E7E7C" w:rsidRPr="00CC7062">
        <w:rPr>
          <w:rFonts w:ascii="Arial" w:eastAsia="Arial" w:hAnsi="Arial" w:cs="Arial"/>
        </w:rPr>
        <w:t xml:space="preserve"> into force in 2019</w:t>
      </w:r>
      <w:r w:rsidR="00BF41B1" w:rsidRPr="00CC7062">
        <w:rPr>
          <w:rFonts w:ascii="Arial" w:eastAsia="Arial" w:hAnsi="Arial" w:cs="Arial"/>
        </w:rPr>
        <w:t xml:space="preserve">, including new provisions pertaining to GIs. </w:t>
      </w:r>
      <w:r w:rsidR="009F0705" w:rsidRPr="00CC7062">
        <w:rPr>
          <w:rFonts w:ascii="Arial" w:eastAsia="Arial" w:hAnsi="Arial" w:cs="Arial"/>
        </w:rPr>
        <w:t xml:space="preserve">While in principle Singapore established use of a formalized system for considering GIs and handling cancellations, in practice the ability of stakeholders to make good faith use of this system has been extremely problematic. Singapore approved for registration certain GIs without any apparent effort to evaluate the clear evidence of wide-spread usage in the Singapore market </w:t>
      </w:r>
      <w:r w:rsidR="009413BB" w:rsidRPr="00CC7062">
        <w:rPr>
          <w:rFonts w:ascii="Arial" w:eastAsia="Arial" w:hAnsi="Arial" w:cs="Arial"/>
        </w:rPr>
        <w:t xml:space="preserve">(acknowledged as such even by Singapore in its FTA text with the EU) </w:t>
      </w:r>
      <w:r w:rsidR="009F0705" w:rsidRPr="00CC7062">
        <w:rPr>
          <w:rFonts w:ascii="Arial" w:eastAsia="Arial" w:hAnsi="Arial" w:cs="Arial"/>
        </w:rPr>
        <w:t xml:space="preserve">while other terms were published without providing sufficient clarity regarding their scope of protection. While a process exists to contest these errors and omissions, our organization has found it exceedingly costly to utilize, thereby introducing a real-word impediment to securing accurate treatment for common terms in this market. </w:t>
      </w:r>
    </w:p>
    <w:p w14:paraId="0FEF955F" w14:textId="77777777" w:rsidR="009F0705" w:rsidRPr="00CC7062" w:rsidRDefault="009F0705" w:rsidP="00B7238A">
      <w:pPr>
        <w:widowControl w:val="0"/>
        <w:tabs>
          <w:tab w:val="left" w:pos="810"/>
        </w:tabs>
        <w:autoSpaceDE w:val="0"/>
        <w:autoSpaceDN w:val="0"/>
        <w:ind w:left="810" w:right="450"/>
        <w:jc w:val="both"/>
        <w:rPr>
          <w:rFonts w:ascii="Arial" w:eastAsia="Arial" w:hAnsi="Arial" w:cs="Arial"/>
        </w:rPr>
      </w:pPr>
    </w:p>
    <w:p w14:paraId="22655C2C" w14:textId="0405047E" w:rsidR="001D08D7" w:rsidRPr="00CC7062" w:rsidRDefault="009F070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We urge</w:t>
      </w:r>
      <w:r w:rsidR="00AB70D1" w:rsidRPr="00CC7062">
        <w:rPr>
          <w:rFonts w:ascii="Arial" w:eastAsia="Arial" w:hAnsi="Arial" w:cs="Arial"/>
        </w:rPr>
        <w:t xml:space="preserve"> the Administration to </w:t>
      </w:r>
      <w:r w:rsidR="00B15BAE" w:rsidRPr="00CC7062">
        <w:rPr>
          <w:rFonts w:ascii="Arial" w:eastAsia="Arial" w:hAnsi="Arial" w:cs="Arial"/>
        </w:rPr>
        <w:t xml:space="preserve">work </w:t>
      </w:r>
      <w:r w:rsidRPr="00CC7062">
        <w:rPr>
          <w:rFonts w:ascii="Arial" w:eastAsia="Arial" w:hAnsi="Arial" w:cs="Arial"/>
        </w:rPr>
        <w:t>with this U.S. FTA partner to shore up access for U.S. products to avoid the further erosion of our market access to Singapore</w:t>
      </w:r>
      <w:r w:rsidR="00B15BAE" w:rsidRPr="00CC7062">
        <w:rPr>
          <w:rFonts w:ascii="Arial" w:eastAsia="Arial" w:hAnsi="Arial" w:cs="Arial"/>
        </w:rPr>
        <w:t xml:space="preserve">. </w:t>
      </w:r>
    </w:p>
    <w:p w14:paraId="4C1C9500" w14:textId="77777777" w:rsidR="001D08D7" w:rsidRPr="00CC7062" w:rsidRDefault="001D08D7" w:rsidP="00B7238A">
      <w:pPr>
        <w:widowControl w:val="0"/>
        <w:tabs>
          <w:tab w:val="left" w:pos="810"/>
        </w:tabs>
        <w:autoSpaceDE w:val="0"/>
        <w:autoSpaceDN w:val="0"/>
        <w:ind w:left="810" w:right="450"/>
        <w:jc w:val="both"/>
        <w:rPr>
          <w:rFonts w:ascii="Arial" w:eastAsia="Arial" w:hAnsi="Arial" w:cs="Arial"/>
        </w:rPr>
      </w:pPr>
    </w:p>
    <w:p w14:paraId="5E5D5D54" w14:textId="3ED24425" w:rsidR="001D08D7" w:rsidRPr="00CC7062" w:rsidRDefault="001D08D7" w:rsidP="00B7238A">
      <w:pPr>
        <w:widowControl w:val="0"/>
        <w:tabs>
          <w:tab w:val="left" w:pos="810"/>
        </w:tabs>
        <w:autoSpaceDE w:val="0"/>
        <w:autoSpaceDN w:val="0"/>
        <w:ind w:left="810" w:right="450"/>
        <w:jc w:val="both"/>
        <w:rPr>
          <w:rFonts w:ascii="Arial" w:eastAsia="Arial" w:hAnsi="Arial" w:cs="Arial"/>
          <w:i/>
        </w:rPr>
      </w:pPr>
    </w:p>
    <w:p w14:paraId="4BB3288D" w14:textId="54741D1C" w:rsidR="00675598"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South Africa</w:t>
      </w:r>
    </w:p>
    <w:p w14:paraId="3FACAB80" w14:textId="189077C5" w:rsidR="00B546FD" w:rsidRPr="00CC7062" w:rsidRDefault="0005006F"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Under a trade agreement with the EU, South Africa imposed</w:t>
      </w:r>
      <w:r w:rsidR="00675598" w:rsidRPr="00CC7062">
        <w:rPr>
          <w:rFonts w:ascii="Arial" w:eastAsia="Arial" w:hAnsi="Arial" w:cs="Arial"/>
        </w:rPr>
        <w:t xml:space="preserve"> restrictions on the use of </w:t>
      </w:r>
      <w:proofErr w:type="gramStart"/>
      <w:r w:rsidR="00675598" w:rsidRPr="00CC7062">
        <w:rPr>
          <w:rFonts w:ascii="Arial" w:eastAsia="Arial" w:hAnsi="Arial" w:cs="Arial"/>
        </w:rPr>
        <w:t>a number of</w:t>
      </w:r>
      <w:proofErr w:type="gramEnd"/>
      <w:r w:rsidR="00675598" w:rsidRPr="00CC7062">
        <w:rPr>
          <w:rFonts w:ascii="Arial" w:eastAsia="Arial" w:hAnsi="Arial" w:cs="Arial"/>
        </w:rPr>
        <w:t xml:space="preserve"> common </w:t>
      </w:r>
      <w:r w:rsidR="009413BB" w:rsidRPr="00CC7062">
        <w:rPr>
          <w:rFonts w:ascii="Arial" w:eastAsia="Arial" w:hAnsi="Arial" w:cs="Arial"/>
        </w:rPr>
        <w:t xml:space="preserve">terms </w:t>
      </w:r>
      <w:r w:rsidR="00675598" w:rsidRPr="00CC7062">
        <w:rPr>
          <w:rFonts w:ascii="Arial" w:eastAsia="Arial" w:hAnsi="Arial" w:cs="Arial"/>
        </w:rPr>
        <w:t xml:space="preserve">including feta, a term which is so generic in that market that </w:t>
      </w:r>
      <w:r w:rsidR="00B546FD" w:rsidRPr="00CC7062">
        <w:rPr>
          <w:rFonts w:ascii="Arial" w:eastAsia="Arial" w:hAnsi="Arial" w:cs="Arial"/>
        </w:rPr>
        <w:t xml:space="preserve">past </w:t>
      </w:r>
      <w:r w:rsidR="00675598" w:rsidRPr="00CC7062">
        <w:rPr>
          <w:rFonts w:ascii="Arial" w:eastAsia="Arial" w:hAnsi="Arial" w:cs="Arial"/>
        </w:rPr>
        <w:t xml:space="preserve">FAS </w:t>
      </w:r>
      <w:r w:rsidR="00B546FD" w:rsidRPr="00CC7062">
        <w:rPr>
          <w:rFonts w:ascii="Arial" w:eastAsia="Arial" w:hAnsi="Arial" w:cs="Arial"/>
        </w:rPr>
        <w:t>reports noted that it</w:t>
      </w:r>
      <w:r w:rsidR="00675598" w:rsidRPr="00CC7062">
        <w:rPr>
          <w:rFonts w:ascii="Arial" w:eastAsia="Arial" w:hAnsi="Arial" w:cs="Arial"/>
        </w:rPr>
        <w:t xml:space="preserve"> is one of the largest cheese types produced in South Africa. </w:t>
      </w:r>
      <w:r w:rsidR="003E7156" w:rsidRPr="00CC7062">
        <w:rPr>
          <w:rFonts w:ascii="Arial" w:eastAsia="Arial" w:hAnsi="Arial" w:cs="Arial"/>
        </w:rPr>
        <w:t xml:space="preserve">That </w:t>
      </w:r>
      <w:r w:rsidR="00C34C0D" w:rsidRPr="00CC7062">
        <w:rPr>
          <w:rFonts w:ascii="Arial" w:eastAsia="Arial" w:hAnsi="Arial" w:cs="Arial"/>
        </w:rPr>
        <w:t xml:space="preserve">agreement has now been implemented by both parties. </w:t>
      </w:r>
      <w:r w:rsidR="00675598" w:rsidRPr="00CC7062">
        <w:rPr>
          <w:rFonts w:ascii="Arial" w:eastAsia="Arial" w:hAnsi="Arial" w:cs="Arial"/>
        </w:rPr>
        <w:t xml:space="preserve">South Africa took </w:t>
      </w:r>
      <w:r w:rsidR="00DA2DFD" w:rsidRPr="00CC7062">
        <w:rPr>
          <w:rFonts w:ascii="Arial" w:eastAsia="Arial" w:hAnsi="Arial" w:cs="Arial"/>
        </w:rPr>
        <w:t>that</w:t>
      </w:r>
      <w:r w:rsidR="00675598" w:rsidRPr="00CC7062">
        <w:rPr>
          <w:rFonts w:ascii="Arial" w:eastAsia="Arial" w:hAnsi="Arial" w:cs="Arial"/>
        </w:rPr>
        <w:t xml:space="preserve"> action without providing the necessary notification to the WTO TBT Committee</w:t>
      </w:r>
      <w:r w:rsidR="00DA2DFD" w:rsidRPr="00CC7062">
        <w:rPr>
          <w:rFonts w:ascii="Arial" w:eastAsia="Arial" w:hAnsi="Arial" w:cs="Arial"/>
        </w:rPr>
        <w:t xml:space="preserve"> at a time when stakeholders could still comment on and influence the decisions regarding the GIs</w:t>
      </w:r>
      <w:r w:rsidR="00675598" w:rsidRPr="00CC7062">
        <w:rPr>
          <w:rFonts w:ascii="Arial" w:eastAsia="Arial" w:hAnsi="Arial" w:cs="Arial"/>
        </w:rPr>
        <w:t>.</w:t>
      </w:r>
      <w:r w:rsidR="003E7156" w:rsidRPr="00CC7062">
        <w:rPr>
          <w:rFonts w:ascii="Arial" w:eastAsia="Arial" w:hAnsi="Arial" w:cs="Arial"/>
        </w:rPr>
        <w:t xml:space="preserve"> </w:t>
      </w:r>
      <w:r w:rsidR="00DA2DFD" w:rsidRPr="00CC7062">
        <w:rPr>
          <w:rFonts w:ascii="Arial" w:eastAsia="Arial" w:hAnsi="Arial" w:cs="Arial"/>
        </w:rPr>
        <w:t xml:space="preserve">In addition, </w:t>
      </w:r>
      <w:r w:rsidR="00346881" w:rsidRPr="00CC7062">
        <w:rPr>
          <w:rFonts w:ascii="Arial" w:eastAsia="Arial" w:hAnsi="Arial" w:cs="Arial"/>
        </w:rPr>
        <w:t>South Africa</w:t>
      </w:r>
      <w:r w:rsidR="00DA2DFD" w:rsidRPr="00CC7062">
        <w:rPr>
          <w:rFonts w:ascii="Arial" w:eastAsia="Arial" w:hAnsi="Arial" w:cs="Arial"/>
        </w:rPr>
        <w:t xml:space="preserve">’s GI regulations, published in 2019, continue to have gaps regarding sufficiently robust protections for the use of common names. </w:t>
      </w:r>
      <w:r w:rsidR="00346881" w:rsidRPr="00CC7062">
        <w:rPr>
          <w:rFonts w:ascii="Arial" w:eastAsia="Arial" w:hAnsi="Arial" w:cs="Arial"/>
        </w:rPr>
        <w:t xml:space="preserve"> </w:t>
      </w:r>
      <w:r w:rsidR="00CD0C0E" w:rsidRPr="00CC7062">
        <w:rPr>
          <w:rFonts w:ascii="Arial" w:eastAsia="Arial" w:hAnsi="Arial" w:cs="Arial"/>
        </w:rPr>
        <w:t>W</w:t>
      </w:r>
      <w:r w:rsidR="003E7156" w:rsidRPr="00CC7062">
        <w:rPr>
          <w:rFonts w:ascii="Arial" w:eastAsia="Arial" w:hAnsi="Arial" w:cs="Arial"/>
        </w:rPr>
        <w:t>e</w:t>
      </w:r>
      <w:r w:rsidR="00BF41B1" w:rsidRPr="00CC7062">
        <w:rPr>
          <w:rFonts w:ascii="Arial" w:eastAsia="Arial" w:hAnsi="Arial" w:cs="Arial"/>
        </w:rPr>
        <w:t xml:space="preserve"> </w:t>
      </w:r>
      <w:r w:rsidR="00B546FD" w:rsidRPr="00CC7062">
        <w:rPr>
          <w:rFonts w:ascii="Arial" w:eastAsia="Arial" w:hAnsi="Arial" w:cs="Arial"/>
        </w:rPr>
        <w:t>urge the Administration</w:t>
      </w:r>
      <w:r w:rsidR="00DA2DFD" w:rsidRPr="00CC7062">
        <w:rPr>
          <w:rFonts w:ascii="Arial" w:eastAsia="Arial" w:hAnsi="Arial" w:cs="Arial"/>
        </w:rPr>
        <w:t xml:space="preserve"> </w:t>
      </w:r>
      <w:r w:rsidR="00B546FD" w:rsidRPr="00CC7062">
        <w:rPr>
          <w:rFonts w:ascii="Arial" w:eastAsia="Arial" w:hAnsi="Arial" w:cs="Arial"/>
        </w:rPr>
        <w:t>to memorialize market access assurances with this trading partner, drawing upon previous precedents</w:t>
      </w:r>
      <w:r w:rsidR="00BF41B1" w:rsidRPr="00CC7062">
        <w:rPr>
          <w:rFonts w:ascii="Arial" w:eastAsia="Arial" w:hAnsi="Arial" w:cs="Arial"/>
        </w:rPr>
        <w:t>, and work to improve S. Africa’s GI regulations</w:t>
      </w:r>
      <w:r w:rsidR="00B546FD" w:rsidRPr="00CC7062">
        <w:rPr>
          <w:rFonts w:ascii="Arial" w:eastAsia="Arial" w:hAnsi="Arial" w:cs="Arial"/>
        </w:rPr>
        <w:t xml:space="preserve">. </w:t>
      </w:r>
    </w:p>
    <w:p w14:paraId="435F560E" w14:textId="77777777" w:rsidR="00B546FD" w:rsidRPr="00CC7062" w:rsidRDefault="00B546FD" w:rsidP="00B7238A">
      <w:pPr>
        <w:widowControl w:val="0"/>
        <w:tabs>
          <w:tab w:val="left" w:pos="810"/>
        </w:tabs>
        <w:autoSpaceDE w:val="0"/>
        <w:autoSpaceDN w:val="0"/>
        <w:ind w:left="810" w:right="450"/>
        <w:jc w:val="both"/>
        <w:rPr>
          <w:rFonts w:ascii="Arial" w:eastAsia="Arial" w:hAnsi="Arial" w:cs="Arial"/>
        </w:rPr>
      </w:pPr>
    </w:p>
    <w:p w14:paraId="1CEAF9F3" w14:textId="77777777" w:rsidR="003E7156" w:rsidRPr="00CC7062" w:rsidRDefault="003E7156" w:rsidP="00B7238A">
      <w:pPr>
        <w:widowControl w:val="0"/>
        <w:tabs>
          <w:tab w:val="left" w:pos="810"/>
        </w:tabs>
        <w:autoSpaceDE w:val="0"/>
        <w:autoSpaceDN w:val="0"/>
        <w:ind w:left="810" w:right="450"/>
        <w:jc w:val="both"/>
        <w:rPr>
          <w:rFonts w:ascii="Arial" w:eastAsia="Arial" w:hAnsi="Arial" w:cs="Arial"/>
        </w:rPr>
      </w:pPr>
    </w:p>
    <w:p w14:paraId="2417F401" w14:textId="77777777" w:rsidR="00CE4856" w:rsidRPr="00CC7062" w:rsidRDefault="00CE4856"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United Kingdom</w:t>
      </w:r>
    </w:p>
    <w:p w14:paraId="445A2426" w14:textId="77777777" w:rsidR="00A802ED" w:rsidRPr="00CC7062" w:rsidRDefault="00396947" w:rsidP="00B7238A">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t xml:space="preserve">CCFN supports the continued pursuit of FTA </w:t>
      </w:r>
      <w:r w:rsidR="00BF41B1" w:rsidRPr="00CC7062">
        <w:rPr>
          <w:rFonts w:ascii="Arial" w:eastAsia="Arial" w:hAnsi="Arial" w:cs="Arial"/>
          <w:bCs/>
        </w:rPr>
        <w:t>negotiations with the UK</w:t>
      </w:r>
      <w:r w:rsidRPr="00CC7062">
        <w:rPr>
          <w:rFonts w:ascii="Arial" w:eastAsia="Arial" w:hAnsi="Arial" w:cs="Arial"/>
          <w:bCs/>
        </w:rPr>
        <w:t xml:space="preserve"> </w:t>
      </w:r>
      <w:proofErr w:type="gramStart"/>
      <w:r w:rsidRPr="00CC7062">
        <w:rPr>
          <w:rFonts w:ascii="Arial" w:eastAsia="Arial" w:hAnsi="Arial" w:cs="Arial"/>
          <w:bCs/>
        </w:rPr>
        <w:t>in light of</w:t>
      </w:r>
      <w:proofErr w:type="gramEnd"/>
      <w:r w:rsidRPr="00CC7062">
        <w:rPr>
          <w:rFonts w:ascii="Arial" w:eastAsia="Arial" w:hAnsi="Arial" w:cs="Arial"/>
          <w:bCs/>
        </w:rPr>
        <w:t xml:space="preserve"> the op</w:t>
      </w:r>
      <w:r w:rsidR="00BF41B1" w:rsidRPr="00CC7062">
        <w:rPr>
          <w:rFonts w:ascii="Arial" w:eastAsia="Arial" w:hAnsi="Arial" w:cs="Arial"/>
          <w:bCs/>
        </w:rPr>
        <w:t xml:space="preserve">portunity </w:t>
      </w:r>
      <w:r w:rsidRPr="00CC7062">
        <w:rPr>
          <w:rFonts w:ascii="Arial" w:eastAsia="Arial" w:hAnsi="Arial" w:cs="Arial"/>
          <w:bCs/>
        </w:rPr>
        <w:t>this process provides to</w:t>
      </w:r>
      <w:r w:rsidR="00BF41B1" w:rsidRPr="00CC7062">
        <w:rPr>
          <w:rFonts w:ascii="Arial" w:eastAsia="Arial" w:hAnsi="Arial" w:cs="Arial"/>
          <w:bCs/>
        </w:rPr>
        <w:t xml:space="preserve"> create a</w:t>
      </w:r>
      <w:r w:rsidR="00702AF7" w:rsidRPr="00CC7062">
        <w:rPr>
          <w:rFonts w:ascii="Arial" w:eastAsia="Arial" w:hAnsi="Arial" w:cs="Arial"/>
          <w:bCs/>
        </w:rPr>
        <w:t xml:space="preserve"> fresh start </w:t>
      </w:r>
      <w:r w:rsidR="00B546FD" w:rsidRPr="00CC7062">
        <w:rPr>
          <w:rFonts w:ascii="Arial" w:eastAsia="Arial" w:hAnsi="Arial" w:cs="Arial"/>
          <w:bCs/>
        </w:rPr>
        <w:t>on GIs with this market in a manner that could work to the benefit of both UK and U.S. food producers</w:t>
      </w:r>
      <w:r w:rsidR="00BF41B1" w:rsidRPr="00CC7062">
        <w:rPr>
          <w:rFonts w:ascii="Arial" w:eastAsia="Arial" w:hAnsi="Arial" w:cs="Arial"/>
          <w:bCs/>
        </w:rPr>
        <w:t xml:space="preserve">. </w:t>
      </w:r>
      <w:r w:rsidRPr="00CC7062">
        <w:rPr>
          <w:rFonts w:ascii="Arial" w:eastAsia="Arial" w:hAnsi="Arial" w:cs="Arial"/>
          <w:bCs/>
        </w:rPr>
        <w:t xml:space="preserve">Positively, the EU withdrawal agreement terms struck at the end of last year retain for the UK the right to alter its GI regulations as it sees fit in the future. The UK has already taken a positive step in the right direction by expanding the standard trademark system right to file for cancellation to its GI system as well to – at least in principle at this stage – create the opportunity to revisit and revoke </w:t>
      </w:r>
      <w:r w:rsidR="00A802ED" w:rsidRPr="00CC7062">
        <w:rPr>
          <w:rFonts w:ascii="Arial" w:eastAsia="Arial" w:hAnsi="Arial" w:cs="Arial"/>
          <w:bCs/>
        </w:rPr>
        <w:t xml:space="preserve">inappropriately granted GIs. </w:t>
      </w:r>
    </w:p>
    <w:p w14:paraId="4573C7E3" w14:textId="77777777" w:rsidR="00A802ED" w:rsidRPr="00CC7062" w:rsidRDefault="00A802ED" w:rsidP="00B7238A">
      <w:pPr>
        <w:widowControl w:val="0"/>
        <w:tabs>
          <w:tab w:val="left" w:pos="810"/>
        </w:tabs>
        <w:autoSpaceDE w:val="0"/>
        <w:autoSpaceDN w:val="0"/>
        <w:ind w:left="810" w:right="450"/>
        <w:jc w:val="both"/>
        <w:outlineLvl w:val="0"/>
        <w:rPr>
          <w:rFonts w:ascii="Arial" w:eastAsia="Arial" w:hAnsi="Arial" w:cs="Arial"/>
          <w:bCs/>
        </w:rPr>
      </w:pPr>
    </w:p>
    <w:p w14:paraId="055A07E9" w14:textId="08FBD53A" w:rsidR="00C800DC" w:rsidRPr="00CC7062" w:rsidRDefault="00396947" w:rsidP="00B7238A">
      <w:pPr>
        <w:widowControl w:val="0"/>
        <w:tabs>
          <w:tab w:val="left" w:pos="810"/>
        </w:tabs>
        <w:autoSpaceDE w:val="0"/>
        <w:autoSpaceDN w:val="0"/>
        <w:ind w:left="810" w:right="450"/>
        <w:jc w:val="both"/>
        <w:outlineLvl w:val="0"/>
        <w:rPr>
          <w:rFonts w:ascii="Arial" w:eastAsia="Arial" w:hAnsi="Arial" w:cs="Arial"/>
        </w:rPr>
      </w:pPr>
      <w:r w:rsidRPr="00CC7062">
        <w:rPr>
          <w:rFonts w:ascii="Arial" w:eastAsia="Arial" w:hAnsi="Arial" w:cs="Arial"/>
          <w:bCs/>
        </w:rPr>
        <w:t xml:space="preserve">Given the UK’s historically reasonable approach to this issue we see ample room for progress and robust outcomes with the UK on GIs. </w:t>
      </w:r>
      <w:r w:rsidR="00533ECA" w:rsidRPr="00CC7062">
        <w:rPr>
          <w:rFonts w:ascii="Arial" w:eastAsia="Arial" w:hAnsi="Arial" w:cs="Arial"/>
        </w:rPr>
        <w:t xml:space="preserve">It is critical for </w:t>
      </w:r>
      <w:r w:rsidR="00CE4856" w:rsidRPr="00CC7062">
        <w:rPr>
          <w:rFonts w:ascii="Arial" w:eastAsia="Arial" w:hAnsi="Arial" w:cs="Arial"/>
        </w:rPr>
        <w:t>USTR</w:t>
      </w:r>
      <w:r w:rsidR="00702AF7" w:rsidRPr="00CC7062">
        <w:rPr>
          <w:rFonts w:ascii="Arial" w:eastAsia="Arial" w:hAnsi="Arial" w:cs="Arial"/>
        </w:rPr>
        <w:t xml:space="preserve"> </w:t>
      </w:r>
      <w:r w:rsidR="00533ECA" w:rsidRPr="00CC7062">
        <w:rPr>
          <w:rFonts w:ascii="Arial" w:eastAsia="Arial" w:hAnsi="Arial" w:cs="Arial"/>
        </w:rPr>
        <w:t xml:space="preserve">to </w:t>
      </w:r>
      <w:r w:rsidR="00CE4856" w:rsidRPr="00CC7062">
        <w:rPr>
          <w:rFonts w:ascii="Arial" w:eastAsia="Arial" w:hAnsi="Arial" w:cs="Arial"/>
        </w:rPr>
        <w:t>work with the UK to help foster the creation of a balanced GI system that breaks with the destructive and deeply flawed GI model advanced by the EU</w:t>
      </w:r>
      <w:r w:rsidR="00CD0C0E" w:rsidRPr="00CC7062">
        <w:rPr>
          <w:rFonts w:ascii="Arial" w:eastAsia="Arial" w:hAnsi="Arial" w:cs="Arial"/>
        </w:rPr>
        <w:t xml:space="preserve"> </w:t>
      </w:r>
      <w:r w:rsidR="00CE4856" w:rsidRPr="00CC7062">
        <w:rPr>
          <w:rFonts w:ascii="Arial" w:eastAsia="Arial" w:hAnsi="Arial" w:cs="Arial"/>
        </w:rPr>
        <w:t xml:space="preserve">to instead create a </w:t>
      </w:r>
      <w:r w:rsidR="00993425" w:rsidRPr="00CC7062">
        <w:rPr>
          <w:rFonts w:ascii="Arial" w:eastAsia="Arial" w:hAnsi="Arial" w:cs="Arial"/>
        </w:rPr>
        <w:t>fairer and more reasonable</w:t>
      </w:r>
      <w:r w:rsidR="00CE4856" w:rsidRPr="00CC7062">
        <w:rPr>
          <w:rFonts w:ascii="Arial" w:eastAsia="Arial" w:hAnsi="Arial" w:cs="Arial"/>
        </w:rPr>
        <w:t xml:space="preserve"> system</w:t>
      </w:r>
      <w:r w:rsidR="00993425" w:rsidRPr="00CC7062">
        <w:rPr>
          <w:rFonts w:ascii="Arial" w:eastAsia="Arial" w:hAnsi="Arial" w:cs="Arial"/>
        </w:rPr>
        <w:t xml:space="preserve"> for GIs</w:t>
      </w:r>
      <w:r w:rsidR="00CE4856" w:rsidRPr="00CC7062">
        <w:rPr>
          <w:rFonts w:ascii="Arial" w:eastAsia="Arial" w:hAnsi="Arial" w:cs="Arial"/>
        </w:rPr>
        <w:t>.</w:t>
      </w:r>
      <w:r w:rsidR="00C800DC" w:rsidRPr="00CC7062">
        <w:rPr>
          <w:rFonts w:ascii="Arial" w:eastAsia="Arial" w:hAnsi="Arial" w:cs="Arial"/>
        </w:rPr>
        <w:t xml:space="preserve"> </w:t>
      </w:r>
    </w:p>
    <w:p w14:paraId="6E39B820" w14:textId="77777777" w:rsidR="00C800DC" w:rsidRPr="00CC7062" w:rsidRDefault="00C800DC" w:rsidP="00B7238A">
      <w:pPr>
        <w:widowControl w:val="0"/>
        <w:tabs>
          <w:tab w:val="left" w:pos="810"/>
        </w:tabs>
        <w:autoSpaceDE w:val="0"/>
        <w:autoSpaceDN w:val="0"/>
        <w:ind w:left="810" w:right="450"/>
        <w:jc w:val="both"/>
        <w:rPr>
          <w:rFonts w:ascii="Arial" w:eastAsia="Arial" w:hAnsi="Arial" w:cs="Arial"/>
        </w:rPr>
      </w:pPr>
    </w:p>
    <w:p w14:paraId="27A632CC" w14:textId="402FD0EF" w:rsidR="009D6D3A" w:rsidRPr="00CC7062" w:rsidRDefault="00C800DC"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Through the course of that work</w:t>
      </w:r>
      <w:r w:rsidR="00CE4856" w:rsidRPr="00CC7062">
        <w:rPr>
          <w:rFonts w:ascii="Arial" w:eastAsia="Arial" w:hAnsi="Arial" w:cs="Arial"/>
        </w:rPr>
        <w:t xml:space="preserve"> </w:t>
      </w:r>
      <w:r w:rsidRPr="00CC7062">
        <w:rPr>
          <w:rFonts w:ascii="Arial" w:eastAsia="Arial" w:hAnsi="Arial" w:cs="Arial"/>
        </w:rPr>
        <w:t xml:space="preserve">the U.S. should </w:t>
      </w:r>
      <w:r w:rsidR="00A802ED" w:rsidRPr="00CC7062">
        <w:rPr>
          <w:rFonts w:ascii="Arial" w:eastAsia="Arial" w:hAnsi="Arial" w:cs="Arial"/>
        </w:rPr>
        <w:t xml:space="preserve">work to </w:t>
      </w:r>
      <w:r w:rsidRPr="00CC7062">
        <w:rPr>
          <w:rFonts w:ascii="Arial" w:eastAsia="Arial" w:hAnsi="Arial" w:cs="Arial"/>
        </w:rPr>
        <w:t xml:space="preserve">address </w:t>
      </w:r>
      <w:r w:rsidR="00A802ED" w:rsidRPr="00CC7062">
        <w:rPr>
          <w:rFonts w:ascii="Arial" w:eastAsia="Arial" w:hAnsi="Arial" w:cs="Arial"/>
        </w:rPr>
        <w:t xml:space="preserve">the full range of common food and beverage term restrictions including GIs barring the use of common names and varietal terms, </w:t>
      </w:r>
      <w:proofErr w:type="gramStart"/>
      <w:r w:rsidR="00A802ED" w:rsidRPr="00CC7062">
        <w:rPr>
          <w:rFonts w:ascii="Arial" w:eastAsia="Arial" w:hAnsi="Arial" w:cs="Arial"/>
        </w:rPr>
        <w:t>evocation</w:t>
      </w:r>
      <w:proofErr w:type="gramEnd"/>
      <w:r w:rsidR="00A802ED" w:rsidRPr="00CC7062">
        <w:rPr>
          <w:rFonts w:ascii="Arial" w:eastAsia="Arial" w:hAnsi="Arial" w:cs="Arial"/>
        </w:rPr>
        <w:t xml:space="preserve"> and the harmfully broad scope of protection for GIs, </w:t>
      </w:r>
      <w:r w:rsidR="00F06F04" w:rsidRPr="00CC7062">
        <w:rPr>
          <w:rFonts w:ascii="Arial" w:eastAsia="Arial" w:hAnsi="Arial" w:cs="Arial"/>
        </w:rPr>
        <w:t>restrictions</w:t>
      </w:r>
      <w:r w:rsidR="00A802ED" w:rsidRPr="00CC7062">
        <w:rPr>
          <w:rFonts w:ascii="Arial" w:eastAsia="Arial" w:hAnsi="Arial" w:cs="Arial"/>
        </w:rPr>
        <w:t xml:space="preserve"> of “traditional terms”, TSG regulations and limitations the use of unregistered terms that have come to be understood as product categories such as</w:t>
      </w:r>
      <w:r w:rsidRPr="00CC7062">
        <w:rPr>
          <w:rFonts w:ascii="Arial" w:eastAsia="Arial" w:hAnsi="Arial" w:cs="Arial"/>
        </w:rPr>
        <w:t xml:space="preserve"> “Greek yogurt</w:t>
      </w:r>
      <w:r w:rsidR="00A802ED" w:rsidRPr="00CC7062">
        <w:rPr>
          <w:rFonts w:ascii="Arial" w:eastAsia="Arial" w:hAnsi="Arial" w:cs="Arial"/>
        </w:rPr>
        <w:t xml:space="preserve">”. </w:t>
      </w:r>
    </w:p>
    <w:p w14:paraId="03425DDF" w14:textId="77777777" w:rsidR="00CE4856" w:rsidRPr="00CC7062" w:rsidRDefault="00CE4856" w:rsidP="00B7238A">
      <w:pPr>
        <w:widowControl w:val="0"/>
        <w:tabs>
          <w:tab w:val="left" w:pos="810"/>
        </w:tabs>
        <w:autoSpaceDE w:val="0"/>
        <w:autoSpaceDN w:val="0"/>
        <w:ind w:left="810" w:right="450"/>
        <w:jc w:val="both"/>
        <w:rPr>
          <w:rFonts w:ascii="Arial" w:eastAsia="Arial" w:hAnsi="Arial" w:cs="Arial"/>
        </w:rPr>
      </w:pPr>
    </w:p>
    <w:p w14:paraId="10D86C16" w14:textId="77777777" w:rsidR="00675598" w:rsidRPr="00CC7062" w:rsidRDefault="00675598" w:rsidP="00B7238A">
      <w:pPr>
        <w:widowControl w:val="0"/>
        <w:tabs>
          <w:tab w:val="left" w:pos="810"/>
        </w:tabs>
        <w:autoSpaceDE w:val="0"/>
        <w:autoSpaceDN w:val="0"/>
        <w:ind w:left="810" w:right="450"/>
        <w:jc w:val="both"/>
        <w:rPr>
          <w:rFonts w:ascii="Arial" w:eastAsia="Arial" w:hAnsi="Arial" w:cs="Arial"/>
        </w:rPr>
      </w:pPr>
    </w:p>
    <w:p w14:paraId="55E97620" w14:textId="485D67F9" w:rsidR="00FD388A" w:rsidRPr="00CC7062" w:rsidRDefault="00675598" w:rsidP="00B7238A">
      <w:pPr>
        <w:widowControl w:val="0"/>
        <w:tabs>
          <w:tab w:val="left" w:pos="810"/>
        </w:tabs>
        <w:autoSpaceDE w:val="0"/>
        <w:autoSpaceDN w:val="0"/>
        <w:ind w:left="810" w:right="450"/>
        <w:jc w:val="both"/>
        <w:outlineLvl w:val="0"/>
        <w:rPr>
          <w:rFonts w:ascii="Arial" w:eastAsia="Arial" w:hAnsi="Arial" w:cs="Arial"/>
          <w:b/>
          <w:bCs/>
        </w:rPr>
      </w:pPr>
      <w:r w:rsidRPr="00CC7062">
        <w:rPr>
          <w:rFonts w:ascii="Arial" w:eastAsia="Arial" w:hAnsi="Arial" w:cs="Arial"/>
          <w:b/>
          <w:bCs/>
        </w:rPr>
        <w:t>Vietnam</w:t>
      </w:r>
    </w:p>
    <w:p w14:paraId="7C577992" w14:textId="167E17DF" w:rsidR="003E7156" w:rsidRPr="00CC7062" w:rsidRDefault="00B546FD" w:rsidP="00B7238A">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t xml:space="preserve">The EU-Vietnam FTA </w:t>
      </w:r>
      <w:r w:rsidR="00993425" w:rsidRPr="00CC7062">
        <w:rPr>
          <w:rFonts w:ascii="Arial" w:eastAsia="Arial" w:hAnsi="Arial" w:cs="Arial"/>
          <w:bCs/>
        </w:rPr>
        <w:t xml:space="preserve">was </w:t>
      </w:r>
      <w:r w:rsidR="00396947" w:rsidRPr="00CC7062">
        <w:rPr>
          <w:rFonts w:ascii="Arial" w:eastAsia="Arial" w:hAnsi="Arial" w:cs="Arial"/>
          <w:bCs/>
        </w:rPr>
        <w:t xml:space="preserve">implemented last year. </w:t>
      </w:r>
      <w:r w:rsidR="00993425" w:rsidRPr="00CC7062">
        <w:rPr>
          <w:rFonts w:ascii="Arial" w:eastAsia="Arial" w:hAnsi="Arial" w:cs="Arial"/>
          <w:bCs/>
        </w:rPr>
        <w:t xml:space="preserve">The agreement contains </w:t>
      </w:r>
      <w:proofErr w:type="gramStart"/>
      <w:r w:rsidR="00993425" w:rsidRPr="00CC7062">
        <w:rPr>
          <w:rFonts w:ascii="Arial" w:eastAsia="Arial" w:hAnsi="Arial" w:cs="Arial"/>
          <w:bCs/>
        </w:rPr>
        <w:t>a number of</w:t>
      </w:r>
      <w:proofErr w:type="gramEnd"/>
      <w:r w:rsidR="00993425" w:rsidRPr="00CC7062">
        <w:rPr>
          <w:rFonts w:ascii="Arial" w:eastAsia="Arial" w:hAnsi="Arial" w:cs="Arial"/>
          <w:bCs/>
        </w:rPr>
        <w:t xml:space="preserve"> provisions </w:t>
      </w:r>
      <w:r w:rsidRPr="00CC7062">
        <w:rPr>
          <w:rFonts w:ascii="Arial" w:eastAsia="Arial" w:hAnsi="Arial" w:cs="Arial"/>
          <w:bCs/>
        </w:rPr>
        <w:t>on GIs</w:t>
      </w:r>
      <w:r w:rsidR="00993425" w:rsidRPr="00CC7062">
        <w:rPr>
          <w:rFonts w:ascii="Arial" w:eastAsia="Arial" w:hAnsi="Arial" w:cs="Arial"/>
          <w:bCs/>
        </w:rPr>
        <w:t xml:space="preserve"> including the establishment of c</w:t>
      </w:r>
      <w:r w:rsidR="00FD388A" w:rsidRPr="00CC7062">
        <w:rPr>
          <w:rFonts w:ascii="Arial" w:eastAsia="Arial" w:hAnsi="Arial" w:cs="Arial"/>
          <w:bCs/>
        </w:rPr>
        <w:t>larity about the scope of protection for key common names impacted by GIs</w:t>
      </w:r>
      <w:r w:rsidR="00396947" w:rsidRPr="00CC7062">
        <w:rPr>
          <w:rFonts w:ascii="Arial" w:eastAsia="Arial" w:hAnsi="Arial" w:cs="Arial"/>
          <w:bCs/>
        </w:rPr>
        <w:t xml:space="preserve"> and provides grandfathering rights established for</w:t>
      </w:r>
      <w:r w:rsidR="00FD388A" w:rsidRPr="00CC7062">
        <w:rPr>
          <w:rFonts w:ascii="Arial" w:eastAsia="Arial" w:hAnsi="Arial" w:cs="Arial"/>
          <w:bCs/>
        </w:rPr>
        <w:t xml:space="preserve"> those </w:t>
      </w:r>
      <w:r w:rsidR="003E7156" w:rsidRPr="00CC7062">
        <w:rPr>
          <w:rFonts w:ascii="Arial" w:eastAsia="Arial" w:hAnsi="Arial" w:cs="Arial"/>
          <w:bCs/>
        </w:rPr>
        <w:t>that initiated exports of a</w:t>
      </w:r>
      <w:r w:rsidR="00FD388A" w:rsidRPr="00CC7062">
        <w:rPr>
          <w:rFonts w:ascii="Arial" w:eastAsia="Arial" w:hAnsi="Arial" w:cs="Arial"/>
          <w:bCs/>
        </w:rPr>
        <w:t>siago, fontina and gorgonzola to Vietnam</w:t>
      </w:r>
      <w:r w:rsidR="003E7156" w:rsidRPr="00CC7062">
        <w:rPr>
          <w:rFonts w:ascii="Arial" w:eastAsia="Arial" w:hAnsi="Arial" w:cs="Arial"/>
          <w:bCs/>
        </w:rPr>
        <w:t xml:space="preserve"> by Dec. 31, 2016 </w:t>
      </w:r>
      <w:r w:rsidR="00FD388A" w:rsidRPr="00CC7062">
        <w:rPr>
          <w:rFonts w:ascii="Arial" w:eastAsia="Arial" w:hAnsi="Arial" w:cs="Arial"/>
          <w:bCs/>
        </w:rPr>
        <w:t xml:space="preserve">to sell </w:t>
      </w:r>
      <w:r w:rsidR="003E7156" w:rsidRPr="00CC7062">
        <w:rPr>
          <w:rFonts w:ascii="Arial" w:eastAsia="Arial" w:hAnsi="Arial" w:cs="Arial"/>
          <w:bCs/>
        </w:rPr>
        <w:t xml:space="preserve">those products in Vietnam </w:t>
      </w:r>
      <w:r w:rsidR="00FD388A" w:rsidRPr="00CC7062">
        <w:rPr>
          <w:rFonts w:ascii="Arial" w:eastAsia="Arial" w:hAnsi="Arial" w:cs="Arial"/>
          <w:bCs/>
        </w:rPr>
        <w:t xml:space="preserve">moving forward. </w:t>
      </w:r>
    </w:p>
    <w:p w14:paraId="20A674C9" w14:textId="77777777" w:rsidR="003E7156" w:rsidRPr="00CC7062" w:rsidRDefault="003E7156" w:rsidP="00B7238A">
      <w:pPr>
        <w:widowControl w:val="0"/>
        <w:tabs>
          <w:tab w:val="left" w:pos="810"/>
        </w:tabs>
        <w:autoSpaceDE w:val="0"/>
        <w:autoSpaceDN w:val="0"/>
        <w:ind w:left="810" w:right="450"/>
        <w:jc w:val="both"/>
        <w:outlineLvl w:val="0"/>
        <w:rPr>
          <w:rFonts w:ascii="Arial" w:eastAsia="Arial" w:hAnsi="Arial" w:cs="Arial"/>
          <w:bCs/>
        </w:rPr>
      </w:pPr>
    </w:p>
    <w:p w14:paraId="58DC4F2E" w14:textId="77777777" w:rsidR="00396947" w:rsidRPr="00CC7062" w:rsidRDefault="00FD388A" w:rsidP="00B7238A">
      <w:pPr>
        <w:widowControl w:val="0"/>
        <w:tabs>
          <w:tab w:val="left" w:pos="810"/>
        </w:tabs>
        <w:autoSpaceDE w:val="0"/>
        <w:autoSpaceDN w:val="0"/>
        <w:ind w:left="810" w:right="450"/>
        <w:jc w:val="both"/>
        <w:outlineLvl w:val="0"/>
        <w:rPr>
          <w:rFonts w:ascii="Arial" w:eastAsia="Arial" w:hAnsi="Arial" w:cs="Arial"/>
          <w:bCs/>
        </w:rPr>
      </w:pPr>
      <w:r w:rsidRPr="00CC7062">
        <w:rPr>
          <w:rFonts w:ascii="Arial" w:eastAsia="Arial" w:hAnsi="Arial" w:cs="Arial"/>
          <w:bCs/>
        </w:rPr>
        <w:t xml:space="preserve">While we </w:t>
      </w:r>
      <w:r w:rsidR="003C4F04" w:rsidRPr="00CC7062">
        <w:rPr>
          <w:rFonts w:ascii="Arial" w:eastAsia="Arial" w:hAnsi="Arial" w:cs="Arial"/>
          <w:bCs/>
        </w:rPr>
        <w:t>firmly</w:t>
      </w:r>
      <w:r w:rsidRPr="00CC7062">
        <w:rPr>
          <w:rFonts w:ascii="Arial" w:eastAsia="Arial" w:hAnsi="Arial" w:cs="Arial"/>
          <w:bCs/>
        </w:rPr>
        <w:t xml:space="preserve"> disagree with the decision to grant the EU GIs for these common name</w:t>
      </w:r>
      <w:r w:rsidR="00F86C31" w:rsidRPr="00CC7062">
        <w:rPr>
          <w:rFonts w:ascii="Arial" w:eastAsia="Arial" w:hAnsi="Arial" w:cs="Arial"/>
          <w:bCs/>
        </w:rPr>
        <w:t>s</w:t>
      </w:r>
      <w:r w:rsidR="003C4F04" w:rsidRPr="00CC7062">
        <w:rPr>
          <w:rFonts w:ascii="Arial" w:eastAsia="Arial" w:hAnsi="Arial" w:cs="Arial"/>
          <w:bCs/>
        </w:rPr>
        <w:t xml:space="preserve">, as well as to restrict new users of those terms and use of the generic term feta, those provisions were essential elements resulting from the parallel work by the U.S. government with Vietnam on the issue of GIs. </w:t>
      </w:r>
      <w:r w:rsidR="00396947" w:rsidRPr="00CC7062">
        <w:rPr>
          <w:rFonts w:ascii="Arial" w:eastAsia="Arial" w:hAnsi="Arial" w:cs="Arial"/>
          <w:bCs/>
        </w:rPr>
        <w:t xml:space="preserve">Despite this and the FTA’s clear language regarding the intent to provide grandfathering rights, Vietnam has to date refused to provide clear confirmations to the specific companies that shipped the grandfathered products prior to the cut-off date so that they can proceed with certainty in the market. </w:t>
      </w:r>
    </w:p>
    <w:p w14:paraId="310D9308" w14:textId="70CE6FC5" w:rsidR="00DE6656" w:rsidRPr="00CC7062" w:rsidRDefault="00DE6656" w:rsidP="00B7238A">
      <w:pPr>
        <w:widowControl w:val="0"/>
        <w:tabs>
          <w:tab w:val="left" w:pos="810"/>
        </w:tabs>
        <w:autoSpaceDE w:val="0"/>
        <w:autoSpaceDN w:val="0"/>
        <w:ind w:left="810" w:right="450"/>
        <w:jc w:val="both"/>
        <w:outlineLvl w:val="0"/>
        <w:rPr>
          <w:rFonts w:ascii="Arial" w:eastAsia="Arial" w:hAnsi="Arial" w:cs="Arial"/>
          <w:bCs/>
        </w:rPr>
      </w:pPr>
    </w:p>
    <w:p w14:paraId="2CEE35C4" w14:textId="77777777" w:rsidR="003C4F04" w:rsidRPr="00CC7062" w:rsidRDefault="003C4F04" w:rsidP="00B7238A">
      <w:pPr>
        <w:widowControl w:val="0"/>
        <w:tabs>
          <w:tab w:val="left" w:pos="810"/>
        </w:tabs>
        <w:autoSpaceDE w:val="0"/>
        <w:autoSpaceDN w:val="0"/>
        <w:ind w:left="810" w:right="450"/>
        <w:jc w:val="both"/>
        <w:outlineLvl w:val="0"/>
        <w:rPr>
          <w:rFonts w:ascii="Arial" w:eastAsia="Arial" w:hAnsi="Arial" w:cs="Arial"/>
          <w:bCs/>
        </w:rPr>
      </w:pPr>
    </w:p>
    <w:p w14:paraId="27F989DE" w14:textId="77777777" w:rsidR="001305BC" w:rsidRPr="00CC7062" w:rsidRDefault="001305BC" w:rsidP="00B7238A">
      <w:pPr>
        <w:widowControl w:val="0"/>
        <w:tabs>
          <w:tab w:val="left" w:pos="810"/>
        </w:tabs>
        <w:autoSpaceDE w:val="0"/>
        <w:autoSpaceDN w:val="0"/>
        <w:ind w:right="450"/>
        <w:jc w:val="both"/>
        <w:rPr>
          <w:rFonts w:ascii="Arial" w:eastAsia="Arial" w:hAnsi="Arial" w:cs="Arial"/>
          <w:b/>
          <w:u w:val="single"/>
        </w:rPr>
      </w:pPr>
      <w:r w:rsidRPr="00CC7062">
        <w:rPr>
          <w:rFonts w:ascii="Arial" w:eastAsia="Arial" w:hAnsi="Arial" w:cs="Arial"/>
          <w:b/>
          <w:u w:val="single"/>
        </w:rPr>
        <w:t>Multilateral and Regional Trade Agreements:</w:t>
      </w:r>
    </w:p>
    <w:p w14:paraId="2B2ABFC0" w14:textId="77777777" w:rsidR="001305BC" w:rsidRPr="00CC7062" w:rsidRDefault="001305BC" w:rsidP="00B7238A">
      <w:pPr>
        <w:widowControl w:val="0"/>
        <w:tabs>
          <w:tab w:val="left" w:pos="810"/>
        </w:tabs>
        <w:autoSpaceDE w:val="0"/>
        <w:autoSpaceDN w:val="0"/>
        <w:ind w:left="810" w:right="450"/>
        <w:jc w:val="both"/>
        <w:rPr>
          <w:rFonts w:ascii="Arial" w:eastAsia="Arial" w:hAnsi="Arial" w:cs="Arial"/>
        </w:rPr>
      </w:pPr>
    </w:p>
    <w:p w14:paraId="220AE1C6" w14:textId="714282E0" w:rsidR="001305BC" w:rsidRPr="00CC7062" w:rsidRDefault="001305BC" w:rsidP="00B7238A">
      <w:pPr>
        <w:widowControl w:val="0"/>
        <w:tabs>
          <w:tab w:val="left" w:pos="810"/>
        </w:tabs>
        <w:autoSpaceDE w:val="0"/>
        <w:autoSpaceDN w:val="0"/>
        <w:ind w:left="810" w:right="450"/>
        <w:jc w:val="both"/>
        <w:rPr>
          <w:rFonts w:ascii="Arial" w:eastAsia="Arial" w:hAnsi="Arial" w:cs="Arial"/>
          <w:b/>
        </w:rPr>
      </w:pPr>
      <w:r w:rsidRPr="00CC7062">
        <w:rPr>
          <w:rFonts w:ascii="Arial" w:eastAsia="Arial" w:hAnsi="Arial" w:cs="Arial"/>
          <w:b/>
        </w:rPr>
        <w:t>World Intellectual Property Organization (WIPO)</w:t>
      </w:r>
    </w:p>
    <w:p w14:paraId="46E15DE5" w14:textId="77777777" w:rsidR="00B10C77" w:rsidRPr="00CC7062" w:rsidRDefault="008B4E0F"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Our organization remain</w:t>
      </w:r>
      <w:r w:rsidR="008E59F5" w:rsidRPr="00CC7062">
        <w:rPr>
          <w:rFonts w:ascii="Arial" w:eastAsia="Arial" w:hAnsi="Arial" w:cs="Arial"/>
        </w:rPr>
        <w:t>s</w:t>
      </w:r>
      <w:r w:rsidRPr="00CC7062">
        <w:rPr>
          <w:rFonts w:ascii="Arial" w:eastAsia="Arial" w:hAnsi="Arial" w:cs="Arial"/>
        </w:rPr>
        <w:t xml:space="preserve"> highly concerned with the Geneva Act of the Lisbon Agreement on Appellations of Origin and Geographical Indications</w:t>
      </w:r>
      <w:r w:rsidR="001F616D" w:rsidRPr="00CC7062">
        <w:rPr>
          <w:rFonts w:ascii="Arial" w:eastAsia="Arial" w:hAnsi="Arial" w:cs="Arial"/>
        </w:rPr>
        <w:t>.</w:t>
      </w:r>
      <w:r w:rsidR="008E59F5" w:rsidRPr="00CC7062">
        <w:rPr>
          <w:rFonts w:ascii="Arial" w:eastAsia="Arial" w:hAnsi="Arial" w:cs="Arial"/>
        </w:rPr>
        <w:t xml:space="preserve"> </w:t>
      </w:r>
      <w:r w:rsidR="001F616D" w:rsidRPr="00CC7062">
        <w:rPr>
          <w:rFonts w:ascii="Arial" w:eastAsia="Arial" w:hAnsi="Arial" w:cs="Arial"/>
        </w:rPr>
        <w:t>This agreement</w:t>
      </w:r>
      <w:r w:rsidR="008E59F5" w:rsidRPr="00CC7062">
        <w:rPr>
          <w:rFonts w:ascii="Arial" w:eastAsia="Arial" w:hAnsi="Arial" w:cs="Arial"/>
        </w:rPr>
        <w:t xml:space="preserve"> </w:t>
      </w:r>
      <w:r w:rsidR="00B10C77" w:rsidRPr="00CC7062">
        <w:rPr>
          <w:rFonts w:ascii="Arial" w:eastAsia="Arial" w:hAnsi="Arial" w:cs="Arial"/>
        </w:rPr>
        <w:t>took effect last year</w:t>
      </w:r>
      <w:r w:rsidR="008E59F5" w:rsidRPr="00CC7062">
        <w:rPr>
          <w:rFonts w:ascii="Arial" w:eastAsia="Arial" w:hAnsi="Arial" w:cs="Arial"/>
        </w:rPr>
        <w:t xml:space="preserve">. </w:t>
      </w:r>
    </w:p>
    <w:p w14:paraId="68C2F657" w14:textId="77777777" w:rsidR="00B10C77" w:rsidRPr="00CC7062" w:rsidRDefault="00B10C77" w:rsidP="00B7238A">
      <w:pPr>
        <w:widowControl w:val="0"/>
        <w:tabs>
          <w:tab w:val="left" w:pos="810"/>
        </w:tabs>
        <w:autoSpaceDE w:val="0"/>
        <w:autoSpaceDN w:val="0"/>
        <w:ind w:left="810" w:right="450"/>
        <w:jc w:val="both"/>
        <w:rPr>
          <w:rFonts w:ascii="Arial" w:eastAsia="Arial" w:hAnsi="Arial" w:cs="Arial"/>
        </w:rPr>
      </w:pPr>
    </w:p>
    <w:p w14:paraId="61BE2D75" w14:textId="77777777" w:rsidR="005E7809" w:rsidRPr="00CC7062" w:rsidRDefault="008E59F5"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The Geneva Act </w:t>
      </w:r>
      <w:r w:rsidR="00B55FC3" w:rsidRPr="00CC7062">
        <w:rPr>
          <w:rFonts w:ascii="Arial" w:eastAsia="Arial" w:hAnsi="Arial" w:cs="Arial"/>
        </w:rPr>
        <w:t>was negotiated</w:t>
      </w:r>
      <w:r w:rsidR="008740B9" w:rsidRPr="00CC7062">
        <w:rPr>
          <w:rFonts w:ascii="Arial" w:eastAsia="Arial" w:hAnsi="Arial" w:cs="Arial"/>
        </w:rPr>
        <w:t xml:space="preserve"> over the objections of numerous WIPO countries</w:t>
      </w:r>
      <w:r w:rsidRPr="00CC7062">
        <w:rPr>
          <w:rFonts w:ascii="Arial" w:eastAsia="Arial" w:hAnsi="Arial" w:cs="Arial"/>
        </w:rPr>
        <w:t xml:space="preserve">. Like its predecessor agreement, the Act </w:t>
      </w:r>
      <w:r w:rsidR="008740B9" w:rsidRPr="00CC7062">
        <w:rPr>
          <w:rFonts w:ascii="Arial" w:eastAsia="Arial" w:hAnsi="Arial" w:cs="Arial"/>
        </w:rPr>
        <w:t xml:space="preserve">facilitates GI registrations </w:t>
      </w:r>
      <w:r w:rsidR="00FA3D7B" w:rsidRPr="00CC7062">
        <w:rPr>
          <w:rFonts w:ascii="Arial" w:eastAsia="Arial" w:hAnsi="Arial" w:cs="Arial"/>
        </w:rPr>
        <w:t xml:space="preserve">while giving short shrift to the rights of generic users by automatically granting approval to GI registrations if no objection is received. </w:t>
      </w:r>
      <w:r w:rsidR="00B10C77" w:rsidRPr="00CC7062">
        <w:rPr>
          <w:rFonts w:ascii="Arial" w:eastAsia="Arial" w:hAnsi="Arial" w:cs="Arial"/>
        </w:rPr>
        <w:t>I</w:t>
      </w:r>
      <w:r w:rsidRPr="00CC7062">
        <w:rPr>
          <w:rFonts w:ascii="Arial" w:eastAsia="Arial" w:hAnsi="Arial" w:cs="Arial"/>
        </w:rPr>
        <w:t xml:space="preserve">mplementation of this new Lisbon Agreement </w:t>
      </w:r>
      <w:r w:rsidR="00B10C77" w:rsidRPr="00CC7062">
        <w:rPr>
          <w:rFonts w:ascii="Arial" w:eastAsia="Arial" w:hAnsi="Arial" w:cs="Arial"/>
        </w:rPr>
        <w:t xml:space="preserve">is poised to </w:t>
      </w:r>
      <w:r w:rsidRPr="00CC7062">
        <w:rPr>
          <w:rFonts w:ascii="Arial" w:eastAsia="Arial" w:hAnsi="Arial" w:cs="Arial"/>
        </w:rPr>
        <w:t xml:space="preserve">give GI holders an unfair commercial advantage in markets around the world at the expense of companies in the U.S. and the developing world who have for many generations used common names in the marketing of their cheeses, meats, </w:t>
      </w:r>
      <w:proofErr w:type="gramStart"/>
      <w:r w:rsidRPr="00CC7062">
        <w:rPr>
          <w:rFonts w:ascii="Arial" w:eastAsia="Arial" w:hAnsi="Arial" w:cs="Arial"/>
        </w:rPr>
        <w:t>wines</w:t>
      </w:r>
      <w:proofErr w:type="gramEnd"/>
      <w:r w:rsidRPr="00CC7062">
        <w:rPr>
          <w:rFonts w:ascii="Arial" w:eastAsia="Arial" w:hAnsi="Arial" w:cs="Arial"/>
        </w:rPr>
        <w:t xml:space="preserve"> and other products.</w:t>
      </w:r>
      <w:r w:rsidR="00B10C77" w:rsidRPr="00CC7062">
        <w:rPr>
          <w:rFonts w:ascii="Arial" w:eastAsia="Arial" w:hAnsi="Arial" w:cs="Arial"/>
        </w:rPr>
        <w:t xml:space="preserve"> </w:t>
      </w:r>
    </w:p>
    <w:p w14:paraId="340584EE" w14:textId="77777777" w:rsidR="005E7809" w:rsidRPr="00CC7062" w:rsidRDefault="005E7809" w:rsidP="00B7238A">
      <w:pPr>
        <w:widowControl w:val="0"/>
        <w:tabs>
          <w:tab w:val="left" w:pos="810"/>
        </w:tabs>
        <w:autoSpaceDE w:val="0"/>
        <w:autoSpaceDN w:val="0"/>
        <w:ind w:left="810" w:right="450"/>
        <w:jc w:val="both"/>
        <w:rPr>
          <w:rFonts w:ascii="Arial" w:eastAsia="Arial" w:hAnsi="Arial" w:cs="Arial"/>
        </w:rPr>
      </w:pPr>
    </w:p>
    <w:p w14:paraId="2C6CFC3D" w14:textId="57E2D4AB" w:rsidR="00AB70D1" w:rsidRPr="00CC7062" w:rsidRDefault="00B10C77"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In contrast to GI holders who now have access to both the Madrid system for trademarks and certifications and to the Lisbon Agreement’s Geneva Act to register their GIs in a single one-stop manner, there is no comparable process by which stakeholders can signal to other countries th</w:t>
      </w:r>
      <w:r w:rsidR="005E7809" w:rsidRPr="00CC7062">
        <w:rPr>
          <w:rFonts w:ascii="Arial" w:eastAsia="Arial" w:hAnsi="Arial" w:cs="Arial"/>
        </w:rPr>
        <w:t xml:space="preserve">e generic nature and wide-spread global usage of a term. This asymmetry creates a tremendous imbalance. </w:t>
      </w:r>
    </w:p>
    <w:p w14:paraId="0F7349A9" w14:textId="77777777" w:rsidR="00AB70D1" w:rsidRPr="00CC7062" w:rsidRDefault="00AB70D1" w:rsidP="00B7238A">
      <w:pPr>
        <w:widowControl w:val="0"/>
        <w:tabs>
          <w:tab w:val="left" w:pos="810"/>
        </w:tabs>
        <w:autoSpaceDE w:val="0"/>
        <w:autoSpaceDN w:val="0"/>
        <w:ind w:left="810" w:right="450"/>
        <w:jc w:val="both"/>
        <w:rPr>
          <w:rFonts w:ascii="Arial" w:eastAsia="Arial" w:hAnsi="Arial" w:cs="Arial"/>
        </w:rPr>
      </w:pPr>
    </w:p>
    <w:p w14:paraId="01B630B3" w14:textId="3A7BF42B" w:rsidR="00FD0309" w:rsidRPr="00CC7062" w:rsidRDefault="005E7809"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Moreover, our experience to date indicates that further progress by WIPO is needed to </w:t>
      </w:r>
      <w:proofErr w:type="gramStart"/>
      <w:r w:rsidRPr="00CC7062">
        <w:rPr>
          <w:rFonts w:ascii="Arial" w:eastAsia="Arial" w:hAnsi="Arial" w:cs="Arial"/>
        </w:rPr>
        <w:t>more fully balance the various rights and interests of IP system stakeholders</w:t>
      </w:r>
      <w:proofErr w:type="gramEnd"/>
      <w:r w:rsidRPr="00CC7062">
        <w:rPr>
          <w:rFonts w:ascii="Arial" w:eastAsia="Arial" w:hAnsi="Arial" w:cs="Arial"/>
        </w:rPr>
        <w:t xml:space="preserve">, specifically those of common name users. We strongly welcome the new WIPO Director General selected last year and look forward to working with him and his staff, as well as with the U.S. </w:t>
      </w:r>
      <w:proofErr w:type="gramStart"/>
      <w:r w:rsidRPr="00CC7062">
        <w:rPr>
          <w:rFonts w:ascii="Arial" w:eastAsia="Arial" w:hAnsi="Arial" w:cs="Arial"/>
        </w:rPr>
        <w:t>government,  to</w:t>
      </w:r>
      <w:proofErr w:type="gramEnd"/>
      <w:r w:rsidRPr="00CC7062">
        <w:rPr>
          <w:rFonts w:ascii="Arial" w:eastAsia="Arial" w:hAnsi="Arial" w:cs="Arial"/>
        </w:rPr>
        <w:t xml:space="preserve"> forge a more balanced approach to GIs and common name treatment in the future by WIPO.</w:t>
      </w:r>
    </w:p>
    <w:p w14:paraId="3ACEDFDC" w14:textId="57C74B43" w:rsidR="00FD0309" w:rsidRDefault="00FD0309" w:rsidP="00B7238A">
      <w:pPr>
        <w:widowControl w:val="0"/>
        <w:tabs>
          <w:tab w:val="left" w:pos="810"/>
        </w:tabs>
        <w:autoSpaceDE w:val="0"/>
        <w:autoSpaceDN w:val="0"/>
        <w:ind w:left="810" w:right="450"/>
        <w:jc w:val="both"/>
        <w:rPr>
          <w:rFonts w:ascii="Arial" w:eastAsia="Arial" w:hAnsi="Arial" w:cs="Arial"/>
        </w:rPr>
      </w:pPr>
    </w:p>
    <w:p w14:paraId="139F201C" w14:textId="5A9F92AF" w:rsidR="002356E4" w:rsidRDefault="002356E4" w:rsidP="00B7238A">
      <w:pPr>
        <w:widowControl w:val="0"/>
        <w:tabs>
          <w:tab w:val="left" w:pos="810"/>
        </w:tabs>
        <w:autoSpaceDE w:val="0"/>
        <w:autoSpaceDN w:val="0"/>
        <w:ind w:left="810" w:right="450"/>
        <w:jc w:val="both"/>
        <w:rPr>
          <w:rFonts w:ascii="Arial" w:eastAsia="Arial" w:hAnsi="Arial" w:cs="Arial"/>
        </w:rPr>
      </w:pPr>
    </w:p>
    <w:p w14:paraId="36CB2C7A" w14:textId="77777777" w:rsidR="002356E4" w:rsidRPr="00CC7062" w:rsidRDefault="002356E4" w:rsidP="00B7238A">
      <w:pPr>
        <w:widowControl w:val="0"/>
        <w:tabs>
          <w:tab w:val="left" w:pos="810"/>
        </w:tabs>
        <w:autoSpaceDE w:val="0"/>
        <w:autoSpaceDN w:val="0"/>
        <w:ind w:left="810" w:right="450"/>
        <w:jc w:val="both"/>
        <w:rPr>
          <w:rFonts w:ascii="Arial" w:eastAsia="Arial" w:hAnsi="Arial" w:cs="Arial"/>
        </w:rPr>
      </w:pPr>
    </w:p>
    <w:p w14:paraId="42FA02E3" w14:textId="5433F135" w:rsidR="00FD0309" w:rsidRPr="00CC7062" w:rsidRDefault="00FD0309" w:rsidP="00B7238A">
      <w:pPr>
        <w:widowControl w:val="0"/>
        <w:tabs>
          <w:tab w:val="left" w:pos="810"/>
        </w:tabs>
        <w:autoSpaceDE w:val="0"/>
        <w:autoSpaceDN w:val="0"/>
        <w:ind w:left="810" w:right="450"/>
        <w:jc w:val="both"/>
        <w:rPr>
          <w:rFonts w:ascii="Arial" w:eastAsia="Arial" w:hAnsi="Arial" w:cs="Arial"/>
          <w:b/>
          <w:bCs/>
        </w:rPr>
      </w:pPr>
      <w:r w:rsidRPr="00CC7062">
        <w:rPr>
          <w:rFonts w:ascii="Arial" w:eastAsia="Arial" w:hAnsi="Arial" w:cs="Arial"/>
          <w:b/>
          <w:bCs/>
        </w:rPr>
        <w:t>UN Food and Agriculture Organization</w:t>
      </w:r>
      <w:r w:rsidR="00364B35" w:rsidRPr="00CC7062">
        <w:rPr>
          <w:rFonts w:ascii="Arial" w:eastAsia="Arial" w:hAnsi="Arial" w:cs="Arial"/>
          <w:b/>
          <w:bCs/>
        </w:rPr>
        <w:t xml:space="preserve"> (FAO)</w:t>
      </w:r>
      <w:r w:rsidR="00AB70D1" w:rsidRPr="00CC7062">
        <w:rPr>
          <w:rFonts w:ascii="Arial" w:eastAsia="Arial" w:hAnsi="Arial" w:cs="Arial"/>
          <w:b/>
          <w:bCs/>
        </w:rPr>
        <w:t xml:space="preserve"> </w:t>
      </w:r>
    </w:p>
    <w:p w14:paraId="1EC4C163" w14:textId="77777777" w:rsidR="00AB70D1" w:rsidRPr="00CC7062" w:rsidRDefault="00AB70D1" w:rsidP="00B7238A">
      <w:pPr>
        <w:widowControl w:val="0"/>
        <w:tabs>
          <w:tab w:val="left" w:pos="810"/>
        </w:tabs>
        <w:autoSpaceDE w:val="0"/>
        <w:autoSpaceDN w:val="0"/>
        <w:ind w:left="810" w:right="450"/>
        <w:jc w:val="both"/>
        <w:rPr>
          <w:rFonts w:ascii="Arial" w:eastAsia="Arial" w:hAnsi="Arial" w:cs="Arial"/>
        </w:rPr>
      </w:pPr>
    </w:p>
    <w:p w14:paraId="5F8A6A74" w14:textId="77777777" w:rsidR="00396947" w:rsidRPr="00CC7062" w:rsidRDefault="005E7809"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We</w:t>
      </w:r>
      <w:r w:rsidR="00AB70D1" w:rsidRPr="00CC7062">
        <w:rPr>
          <w:rFonts w:ascii="Arial" w:eastAsia="Arial" w:hAnsi="Arial" w:cs="Arial"/>
        </w:rPr>
        <w:t xml:space="preserve"> recognize FAO’s development </w:t>
      </w:r>
      <w:proofErr w:type="gramStart"/>
      <w:r w:rsidR="00AB70D1" w:rsidRPr="00CC7062">
        <w:rPr>
          <w:rFonts w:ascii="Arial" w:eastAsia="Arial" w:hAnsi="Arial" w:cs="Arial"/>
        </w:rPr>
        <w:t>mandate</w:t>
      </w:r>
      <w:proofErr w:type="gramEnd"/>
      <w:r w:rsidR="00AB70D1" w:rsidRPr="00CC7062">
        <w:rPr>
          <w:rFonts w:ascii="Arial" w:eastAsia="Arial" w:hAnsi="Arial" w:cs="Arial"/>
        </w:rPr>
        <w:t xml:space="preserve"> and that FAO seeks to use various means to spur agriculture, fisheries, forestry and rural development. We </w:t>
      </w:r>
      <w:r w:rsidRPr="00CC7062">
        <w:rPr>
          <w:rFonts w:ascii="Arial" w:eastAsia="Arial" w:hAnsi="Arial" w:cs="Arial"/>
        </w:rPr>
        <w:t>very much</w:t>
      </w:r>
      <w:r w:rsidR="00AB70D1" w:rsidRPr="00CC7062">
        <w:rPr>
          <w:rFonts w:ascii="Arial" w:eastAsia="Arial" w:hAnsi="Arial" w:cs="Arial"/>
        </w:rPr>
        <w:t xml:space="preserve"> support well-designed and appropriately focused GI policies. However, as an organization funded in</w:t>
      </w:r>
      <w:r w:rsidR="00847694" w:rsidRPr="00CC7062">
        <w:rPr>
          <w:rFonts w:ascii="Arial" w:eastAsia="Arial" w:hAnsi="Arial" w:cs="Arial"/>
        </w:rPr>
        <w:t xml:space="preserve"> a significant</w:t>
      </w:r>
      <w:r w:rsidR="00AB70D1" w:rsidRPr="00CC7062">
        <w:rPr>
          <w:rFonts w:ascii="Arial" w:eastAsia="Arial" w:hAnsi="Arial" w:cs="Arial"/>
        </w:rPr>
        <w:t xml:space="preserve"> part by dues from the United States and with a responsibility to represent the interests of the whole of the UN membership, in which there exists a broad diversity of views on the topic of GIs, we are concerned that FAO’s approach to GI topics </w:t>
      </w:r>
      <w:r w:rsidR="008E59F5" w:rsidRPr="00CC7062">
        <w:rPr>
          <w:rFonts w:ascii="Arial" w:eastAsia="Arial" w:hAnsi="Arial" w:cs="Arial"/>
        </w:rPr>
        <w:t>does not adhere to the</w:t>
      </w:r>
      <w:r w:rsidR="00AB70D1" w:rsidRPr="00CC7062">
        <w:rPr>
          <w:rFonts w:ascii="Arial" w:eastAsia="Arial" w:hAnsi="Arial" w:cs="Arial"/>
        </w:rPr>
        <w:t xml:space="preserve"> neutral role it should play with respect to policy in this area. </w:t>
      </w:r>
      <w:r w:rsidRPr="00CC7062">
        <w:rPr>
          <w:rFonts w:ascii="Arial" w:eastAsia="Arial" w:hAnsi="Arial" w:cs="Arial"/>
        </w:rPr>
        <w:t>Rather, FAO has in recent years opted to encourage the use of GIs as a development tool without promoting appropriate due process procedures to ensure that GIs are handled in a manner that avoids negative impacts on other stakeholders in the developing country’s market that rely on generic terms.</w:t>
      </w:r>
    </w:p>
    <w:p w14:paraId="3C4F32D0" w14:textId="77777777" w:rsidR="00396947" w:rsidRPr="00CC7062" w:rsidRDefault="00396947" w:rsidP="00B7238A">
      <w:pPr>
        <w:widowControl w:val="0"/>
        <w:tabs>
          <w:tab w:val="left" w:pos="810"/>
        </w:tabs>
        <w:autoSpaceDE w:val="0"/>
        <w:autoSpaceDN w:val="0"/>
        <w:ind w:left="810" w:right="450"/>
        <w:jc w:val="both"/>
        <w:rPr>
          <w:rFonts w:ascii="Arial" w:eastAsia="Arial" w:hAnsi="Arial" w:cs="Arial"/>
        </w:rPr>
      </w:pPr>
    </w:p>
    <w:p w14:paraId="7747E5DF" w14:textId="13024C4F" w:rsidR="00FA3D7B" w:rsidRPr="00CC7062" w:rsidRDefault="005E7809" w:rsidP="00B7238A">
      <w:pPr>
        <w:widowControl w:val="0"/>
        <w:tabs>
          <w:tab w:val="left" w:pos="810"/>
        </w:tabs>
        <w:autoSpaceDE w:val="0"/>
        <w:autoSpaceDN w:val="0"/>
        <w:ind w:left="810" w:right="450"/>
        <w:jc w:val="both"/>
        <w:rPr>
          <w:rFonts w:ascii="Arial" w:eastAsia="Arial" w:hAnsi="Arial" w:cs="Arial"/>
        </w:rPr>
      </w:pPr>
      <w:r w:rsidRPr="00CC7062">
        <w:rPr>
          <w:rFonts w:ascii="Arial" w:eastAsia="Arial" w:hAnsi="Arial" w:cs="Arial"/>
        </w:rPr>
        <w:t xml:space="preserve"> Moreover, FAO has not provided fully inclusive information as it works closely with developing countries to encourage the crafting of GI systems – namely, thanks to the WTO case that the U.S. won against the EU several years ago, GI holders all around the world have the right to register their GIs in the EU on their merits and there is no obligation for those countries to simultaneously recognize EU GIs in their own market if not merited. Moreover, we are also concerned that FAO is not </w:t>
      </w:r>
      <w:r w:rsidR="00396947" w:rsidRPr="00CC7062">
        <w:rPr>
          <w:rFonts w:ascii="Arial" w:eastAsia="Arial" w:hAnsi="Arial" w:cs="Arial"/>
        </w:rPr>
        <w:t xml:space="preserve">ensuring that developing countries </w:t>
      </w:r>
      <w:proofErr w:type="gramStart"/>
      <w:r w:rsidR="00396947" w:rsidRPr="00CC7062">
        <w:rPr>
          <w:rFonts w:ascii="Arial" w:eastAsia="Arial" w:hAnsi="Arial" w:cs="Arial"/>
        </w:rPr>
        <w:t>are aware of the fact that</w:t>
      </w:r>
      <w:proofErr w:type="gramEnd"/>
      <w:r w:rsidR="00396947" w:rsidRPr="00CC7062">
        <w:rPr>
          <w:rFonts w:ascii="Arial" w:eastAsia="Arial" w:hAnsi="Arial" w:cs="Arial"/>
        </w:rPr>
        <w:t xml:space="preserve"> if they utilize sui generis systems in order to allow for free registration and enforcement of domestic GIs then, to fulfill WTO national treatment obligations they must also shoulder the cost and administrative burden of allowing for free registration and enforcement of all foreign GIs as well. A system based around certificate marks that puts the costs of registration and enforcement appropriately on the applicant would impose a far lower burden on developing country governments. </w:t>
      </w:r>
    </w:p>
    <w:p w14:paraId="734113C7" w14:textId="77777777" w:rsidR="00FA3D7B" w:rsidRPr="00CC7062" w:rsidRDefault="00FA3D7B" w:rsidP="00B7238A">
      <w:pPr>
        <w:widowControl w:val="0"/>
        <w:tabs>
          <w:tab w:val="left" w:pos="810"/>
        </w:tabs>
        <w:autoSpaceDE w:val="0"/>
        <w:autoSpaceDN w:val="0"/>
        <w:ind w:left="810" w:right="450"/>
        <w:jc w:val="both"/>
        <w:rPr>
          <w:rFonts w:ascii="Arial" w:eastAsia="Arial" w:hAnsi="Arial" w:cs="Arial"/>
        </w:rPr>
      </w:pPr>
    </w:p>
    <w:p w14:paraId="783384C1" w14:textId="77777777" w:rsidR="00E85EAF" w:rsidRPr="00CC7062" w:rsidRDefault="00E85EAF" w:rsidP="00B7238A">
      <w:pPr>
        <w:widowControl w:val="0"/>
        <w:tabs>
          <w:tab w:val="left" w:pos="810"/>
        </w:tabs>
        <w:autoSpaceDE w:val="0"/>
        <w:autoSpaceDN w:val="0"/>
        <w:ind w:left="810" w:right="450"/>
        <w:jc w:val="both"/>
        <w:rPr>
          <w:rFonts w:ascii="Arial" w:eastAsia="Arial" w:hAnsi="Arial" w:cs="Arial"/>
        </w:rPr>
      </w:pPr>
    </w:p>
    <w:p w14:paraId="18FAB607" w14:textId="77777777" w:rsidR="001F4990" w:rsidRPr="00CC7062" w:rsidRDefault="001F4990" w:rsidP="00B7238A">
      <w:pPr>
        <w:widowControl w:val="0"/>
        <w:tabs>
          <w:tab w:val="left" w:pos="810"/>
        </w:tabs>
        <w:autoSpaceDE w:val="0"/>
        <w:autoSpaceDN w:val="0"/>
        <w:ind w:right="450"/>
        <w:jc w:val="both"/>
        <w:rPr>
          <w:rFonts w:ascii="Arial" w:eastAsia="Arial" w:hAnsi="Arial" w:cs="Arial"/>
          <w:b/>
          <w:u w:val="single"/>
        </w:rPr>
      </w:pPr>
      <w:r w:rsidRPr="00CC7062">
        <w:rPr>
          <w:rFonts w:ascii="Arial" w:eastAsia="Arial" w:hAnsi="Arial" w:cs="Arial"/>
          <w:b/>
          <w:u w:val="single"/>
        </w:rPr>
        <w:t>Conclusion</w:t>
      </w:r>
    </w:p>
    <w:p w14:paraId="6115B727" w14:textId="77777777" w:rsidR="00192CD7" w:rsidRPr="00CC7062" w:rsidRDefault="00192CD7" w:rsidP="00B7238A">
      <w:pPr>
        <w:pStyle w:val="BodyText"/>
        <w:tabs>
          <w:tab w:val="left" w:pos="810"/>
        </w:tabs>
        <w:spacing w:after="0"/>
        <w:ind w:right="446"/>
        <w:jc w:val="both"/>
        <w:rPr>
          <w:rFonts w:ascii="Arial" w:eastAsia="Arial" w:hAnsi="Arial" w:cs="Arial"/>
        </w:rPr>
      </w:pPr>
    </w:p>
    <w:p w14:paraId="38B3D1AB" w14:textId="5FABE8FA" w:rsidR="002B204C" w:rsidRPr="00CC7062" w:rsidRDefault="002B204C" w:rsidP="00B7238A">
      <w:pPr>
        <w:pStyle w:val="BodyText"/>
        <w:tabs>
          <w:tab w:val="left" w:pos="810"/>
        </w:tabs>
        <w:spacing w:after="0"/>
        <w:ind w:right="446"/>
        <w:jc w:val="both"/>
        <w:rPr>
          <w:rFonts w:ascii="Arial" w:eastAsia="Arial" w:hAnsi="Arial" w:cs="Arial"/>
        </w:rPr>
      </w:pPr>
      <w:r w:rsidRPr="00CC7062">
        <w:rPr>
          <w:rFonts w:ascii="Arial" w:eastAsia="Arial" w:hAnsi="Arial" w:cs="Arial"/>
        </w:rPr>
        <w:t>We look forward to continuing to work closely with the Office of the United States Trade Representative (USTR), the United States Patent and Trademark Office (PTO), the United State Department of Agriculture (USDA), the Department of Commerce, and the Department of State to ensure that our trading partners live up to their commitments under the World Trade Organization (WTO) and bilateral trade agreements with respect to common food and beverage terms</w:t>
      </w:r>
      <w:r w:rsidR="00192CD7" w:rsidRPr="00CC7062">
        <w:rPr>
          <w:rFonts w:ascii="Arial" w:eastAsia="Arial" w:hAnsi="Arial" w:cs="Arial"/>
        </w:rPr>
        <w:t>,</w:t>
      </w:r>
      <w:r w:rsidRPr="00CC7062">
        <w:rPr>
          <w:rFonts w:ascii="Arial" w:eastAsia="Arial" w:hAnsi="Arial" w:cs="Arial"/>
        </w:rPr>
        <w:t xml:space="preserve"> and </w:t>
      </w:r>
      <w:r w:rsidR="00192CD7" w:rsidRPr="00CC7062">
        <w:rPr>
          <w:rFonts w:ascii="Arial" w:eastAsia="Arial" w:hAnsi="Arial" w:cs="Arial"/>
        </w:rPr>
        <w:t xml:space="preserve">secure clear affirmations of our market access rights for these products with key trading partners. </w:t>
      </w:r>
    </w:p>
    <w:p w14:paraId="7499508B" w14:textId="77777777" w:rsidR="002B204C" w:rsidRPr="00CC7062" w:rsidRDefault="002B204C" w:rsidP="00B7238A">
      <w:pPr>
        <w:widowControl w:val="0"/>
        <w:tabs>
          <w:tab w:val="left" w:pos="810"/>
        </w:tabs>
        <w:autoSpaceDE w:val="0"/>
        <w:autoSpaceDN w:val="0"/>
        <w:ind w:right="450"/>
        <w:jc w:val="both"/>
        <w:rPr>
          <w:rFonts w:ascii="Arial" w:eastAsia="Arial" w:hAnsi="Arial" w:cs="Arial"/>
        </w:rPr>
      </w:pPr>
    </w:p>
    <w:p w14:paraId="2ACBF2EB" w14:textId="657F599F" w:rsidR="00114F11" w:rsidRPr="00CC7062" w:rsidRDefault="00114F11" w:rsidP="00B7238A">
      <w:pPr>
        <w:widowControl w:val="0"/>
        <w:tabs>
          <w:tab w:val="left" w:pos="810"/>
        </w:tabs>
        <w:autoSpaceDE w:val="0"/>
        <w:autoSpaceDN w:val="0"/>
        <w:ind w:right="450"/>
        <w:jc w:val="both"/>
        <w:rPr>
          <w:rFonts w:ascii="Arial" w:eastAsia="Arial" w:hAnsi="Arial" w:cs="Arial"/>
        </w:rPr>
      </w:pPr>
      <w:r w:rsidRPr="00CC7062">
        <w:rPr>
          <w:rFonts w:ascii="Arial" w:eastAsia="Arial" w:hAnsi="Arial" w:cs="Arial"/>
        </w:rPr>
        <w:t xml:space="preserve">Thank you for this opportunity to comment on these issues so important to U.S. companies, their </w:t>
      </w:r>
      <w:proofErr w:type="gramStart"/>
      <w:r w:rsidRPr="00CC7062">
        <w:rPr>
          <w:rFonts w:ascii="Arial" w:eastAsia="Arial" w:hAnsi="Arial" w:cs="Arial"/>
        </w:rPr>
        <w:t>employees</w:t>
      </w:r>
      <w:proofErr w:type="gramEnd"/>
      <w:r w:rsidRPr="00CC7062">
        <w:rPr>
          <w:rFonts w:ascii="Arial" w:eastAsia="Arial" w:hAnsi="Arial" w:cs="Arial"/>
        </w:rPr>
        <w:t xml:space="preserve"> and their supplying farmers. </w:t>
      </w:r>
    </w:p>
    <w:p w14:paraId="57355FCA" w14:textId="77777777" w:rsidR="00114F11" w:rsidRPr="00CC7062" w:rsidRDefault="00114F11" w:rsidP="00B7238A">
      <w:pPr>
        <w:widowControl w:val="0"/>
        <w:tabs>
          <w:tab w:val="left" w:pos="810"/>
        </w:tabs>
        <w:autoSpaceDE w:val="0"/>
        <w:autoSpaceDN w:val="0"/>
        <w:ind w:right="450"/>
        <w:jc w:val="both"/>
        <w:rPr>
          <w:rFonts w:ascii="Arial" w:eastAsia="Arial" w:hAnsi="Arial" w:cs="Arial"/>
        </w:rPr>
      </w:pPr>
    </w:p>
    <w:p w14:paraId="36649CB3" w14:textId="77777777" w:rsidR="00114F11" w:rsidRPr="00CC7062" w:rsidRDefault="00114F11" w:rsidP="00B7238A">
      <w:pPr>
        <w:widowControl w:val="0"/>
        <w:tabs>
          <w:tab w:val="left" w:pos="810"/>
        </w:tabs>
        <w:autoSpaceDE w:val="0"/>
        <w:autoSpaceDN w:val="0"/>
        <w:ind w:right="450"/>
        <w:jc w:val="both"/>
        <w:rPr>
          <w:rFonts w:ascii="Arial" w:eastAsia="Arial" w:hAnsi="Arial" w:cs="Arial"/>
          <w:i/>
        </w:rPr>
      </w:pPr>
    </w:p>
    <w:p w14:paraId="003D0EBB" w14:textId="77777777" w:rsidR="00114F11" w:rsidRPr="00CC7062" w:rsidRDefault="00114F11" w:rsidP="00B7238A">
      <w:pPr>
        <w:widowControl w:val="0"/>
        <w:tabs>
          <w:tab w:val="left" w:pos="810"/>
        </w:tabs>
        <w:autoSpaceDE w:val="0"/>
        <w:autoSpaceDN w:val="0"/>
        <w:ind w:right="450"/>
        <w:jc w:val="both"/>
        <w:rPr>
          <w:rFonts w:ascii="Arial" w:eastAsia="Arial" w:hAnsi="Arial" w:cs="Arial"/>
          <w:i/>
        </w:rPr>
      </w:pPr>
    </w:p>
    <w:p w14:paraId="51A3EE26" w14:textId="08761DDF" w:rsidR="00114F11" w:rsidRPr="00CC7062" w:rsidRDefault="00114F11" w:rsidP="00B7238A">
      <w:pPr>
        <w:widowControl w:val="0"/>
        <w:tabs>
          <w:tab w:val="left" w:pos="810"/>
        </w:tabs>
        <w:autoSpaceDE w:val="0"/>
        <w:autoSpaceDN w:val="0"/>
        <w:ind w:right="450"/>
        <w:jc w:val="both"/>
        <w:rPr>
          <w:rFonts w:ascii="Arial" w:eastAsia="Arial" w:hAnsi="Arial" w:cs="Arial"/>
          <w:i/>
        </w:rPr>
      </w:pPr>
      <w:r w:rsidRPr="00CC7062">
        <w:rPr>
          <w:rFonts w:ascii="Arial" w:eastAsia="Arial" w:hAnsi="Arial" w:cs="Arial"/>
          <w:i/>
        </w:rPr>
        <w:t xml:space="preserve">Point of Contact:  </w:t>
      </w:r>
    </w:p>
    <w:p w14:paraId="4CDC4AB4" w14:textId="0C3CA197" w:rsidR="00114F11" w:rsidRPr="00CC7062" w:rsidRDefault="00114F11" w:rsidP="00B7238A">
      <w:pPr>
        <w:widowControl w:val="0"/>
        <w:tabs>
          <w:tab w:val="left" w:pos="810"/>
        </w:tabs>
        <w:autoSpaceDE w:val="0"/>
        <w:autoSpaceDN w:val="0"/>
        <w:ind w:right="450"/>
        <w:jc w:val="both"/>
        <w:rPr>
          <w:rFonts w:ascii="Arial" w:eastAsia="Arial" w:hAnsi="Arial" w:cs="Arial"/>
          <w:i/>
        </w:rPr>
      </w:pPr>
      <w:r w:rsidRPr="00CC7062">
        <w:rPr>
          <w:rFonts w:ascii="Arial" w:eastAsia="Arial" w:hAnsi="Arial" w:cs="Arial"/>
          <w:i/>
        </w:rPr>
        <w:t>Shawna Morris</w:t>
      </w:r>
    </w:p>
    <w:p w14:paraId="0D0FD0A9" w14:textId="50AB4682" w:rsidR="00114F11" w:rsidRPr="00CC7062" w:rsidRDefault="00114F11" w:rsidP="00B7238A">
      <w:pPr>
        <w:widowControl w:val="0"/>
        <w:tabs>
          <w:tab w:val="left" w:pos="810"/>
        </w:tabs>
        <w:autoSpaceDE w:val="0"/>
        <w:autoSpaceDN w:val="0"/>
        <w:ind w:right="450"/>
        <w:jc w:val="both"/>
        <w:rPr>
          <w:rFonts w:ascii="Arial" w:eastAsia="Arial" w:hAnsi="Arial" w:cs="Arial"/>
          <w:i/>
        </w:rPr>
      </w:pPr>
      <w:r w:rsidRPr="00CC7062">
        <w:rPr>
          <w:rFonts w:ascii="Arial" w:eastAsia="Arial" w:hAnsi="Arial" w:cs="Arial"/>
          <w:i/>
        </w:rPr>
        <w:t>Sr. Director, Consortium for Common Food Names</w:t>
      </w:r>
    </w:p>
    <w:p w14:paraId="55BCC22A" w14:textId="4451A6A2" w:rsidR="00114F11" w:rsidRPr="00CC7062" w:rsidRDefault="00114F11" w:rsidP="00B7238A">
      <w:pPr>
        <w:widowControl w:val="0"/>
        <w:tabs>
          <w:tab w:val="left" w:pos="810"/>
        </w:tabs>
        <w:autoSpaceDE w:val="0"/>
        <w:autoSpaceDN w:val="0"/>
        <w:ind w:right="450"/>
        <w:jc w:val="both"/>
        <w:rPr>
          <w:rFonts w:ascii="Arial" w:eastAsia="Arial" w:hAnsi="Arial" w:cs="Arial"/>
          <w:i/>
        </w:rPr>
      </w:pPr>
      <w:r w:rsidRPr="00CC7062">
        <w:rPr>
          <w:rFonts w:ascii="Arial" w:eastAsia="Arial" w:hAnsi="Arial" w:cs="Arial"/>
          <w:i/>
        </w:rPr>
        <w:t>703-528-4818</w:t>
      </w:r>
    </w:p>
    <w:p w14:paraId="0B727E81" w14:textId="3C1B5949" w:rsidR="00114F11" w:rsidRPr="00114F11" w:rsidRDefault="008B3E0D" w:rsidP="00B7238A">
      <w:pPr>
        <w:widowControl w:val="0"/>
        <w:tabs>
          <w:tab w:val="left" w:pos="810"/>
        </w:tabs>
        <w:autoSpaceDE w:val="0"/>
        <w:autoSpaceDN w:val="0"/>
        <w:ind w:right="450"/>
        <w:jc w:val="both"/>
        <w:rPr>
          <w:rFonts w:ascii="Arial" w:eastAsia="Arial" w:hAnsi="Arial" w:cs="Arial"/>
          <w:i/>
        </w:rPr>
      </w:pPr>
      <w:hyperlink r:id="rId9" w:history="1">
        <w:r w:rsidR="00114F11" w:rsidRPr="00CC7062">
          <w:rPr>
            <w:rStyle w:val="Hyperlink"/>
            <w:rFonts w:ascii="Arial" w:eastAsia="Arial" w:hAnsi="Arial" w:cs="Arial"/>
            <w:i/>
          </w:rPr>
          <w:t>smorris@commonfoodnames.com</w:t>
        </w:r>
      </w:hyperlink>
      <w:r w:rsidR="00114F11" w:rsidRPr="00114F11">
        <w:rPr>
          <w:rFonts w:ascii="Arial" w:eastAsia="Arial" w:hAnsi="Arial" w:cs="Arial"/>
          <w:i/>
        </w:rPr>
        <w:t xml:space="preserve"> </w:t>
      </w:r>
    </w:p>
    <w:sectPr w:rsidR="00114F11" w:rsidRPr="00114F11" w:rsidSect="00FC7592">
      <w:headerReference w:type="even" r:id="rId10"/>
      <w:headerReference w:type="default" r:id="rId11"/>
      <w:footerReference w:type="even" r:id="rId12"/>
      <w:footerReference w:type="default" r:id="rId13"/>
      <w:headerReference w:type="first" r:id="rId14"/>
      <w:footerReference w:type="first" r:id="rId15"/>
      <w:pgSz w:w="12240" w:h="15840"/>
      <w:pgMar w:top="1944"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6B9C6" w14:textId="77777777" w:rsidR="008B3E0D" w:rsidRDefault="008B3E0D" w:rsidP="00E61EA5">
      <w:r>
        <w:separator/>
      </w:r>
    </w:p>
  </w:endnote>
  <w:endnote w:type="continuationSeparator" w:id="0">
    <w:p w14:paraId="58661196" w14:textId="77777777" w:rsidR="008B3E0D" w:rsidRDefault="008B3E0D" w:rsidP="00E61EA5">
      <w:r>
        <w:continuationSeparator/>
      </w:r>
    </w:p>
  </w:endnote>
  <w:endnote w:type="continuationNotice" w:id="1">
    <w:p w14:paraId="29FD0A30" w14:textId="77777777" w:rsidR="008B3E0D" w:rsidRDefault="008B3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AAFD" w14:textId="77777777" w:rsidR="001D3AF2" w:rsidRDefault="001D3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82743"/>
      <w:docPartObj>
        <w:docPartGallery w:val="Page Numbers (Bottom of Page)"/>
        <w:docPartUnique/>
      </w:docPartObj>
    </w:sdtPr>
    <w:sdtEndPr>
      <w:rPr>
        <w:noProof/>
      </w:rPr>
    </w:sdtEndPr>
    <w:sdtContent>
      <w:p w14:paraId="74F7D102" w14:textId="6AE22115" w:rsidR="001D3AF2" w:rsidRDefault="001D3AF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87A9F9" w14:textId="644CE4F1" w:rsidR="001D3AF2" w:rsidRDefault="001D3AF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8F64E" w14:textId="77777777" w:rsidR="001D3AF2" w:rsidRDefault="001D3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EE12F" w14:textId="77777777" w:rsidR="008B3E0D" w:rsidRDefault="008B3E0D" w:rsidP="00E61EA5">
      <w:r>
        <w:separator/>
      </w:r>
    </w:p>
  </w:footnote>
  <w:footnote w:type="continuationSeparator" w:id="0">
    <w:p w14:paraId="08B02F00" w14:textId="77777777" w:rsidR="008B3E0D" w:rsidRDefault="008B3E0D" w:rsidP="00E61EA5">
      <w:r>
        <w:continuationSeparator/>
      </w:r>
    </w:p>
  </w:footnote>
  <w:footnote w:type="continuationNotice" w:id="1">
    <w:p w14:paraId="48197F33" w14:textId="77777777" w:rsidR="008B3E0D" w:rsidRDefault="008B3E0D"/>
  </w:footnote>
  <w:footnote w:id="2">
    <w:p w14:paraId="2C489EB9" w14:textId="3C1E1865" w:rsidR="00FC7592" w:rsidRDefault="00FC7592">
      <w:pPr>
        <w:pStyle w:val="FootnoteText"/>
      </w:pPr>
      <w:r>
        <w:rPr>
          <w:rStyle w:val="FootnoteReference"/>
        </w:rPr>
        <w:footnoteRef/>
      </w:r>
      <w:r>
        <w:t xml:space="preserve"> </w:t>
      </w:r>
      <w:hyperlink r:id="rId1" w:history="1">
        <w:r w:rsidRPr="00F213D7">
          <w:rPr>
            <w:rStyle w:val="Hyperlink"/>
          </w:rPr>
          <w:t>https://www.nmpf.org/wp-content/uploads/2020/07/Final-Senate-Thune-Stabenow-Letter-on-Common-Names-Letterhead-7.30.20_200p.pdf</w:t>
        </w:r>
      </w:hyperlink>
      <w:r>
        <w:t xml:space="preserve"> </w:t>
      </w:r>
    </w:p>
  </w:footnote>
  <w:footnote w:id="3">
    <w:p w14:paraId="6CC51154" w14:textId="4BC11457" w:rsidR="00FC7592" w:rsidRDefault="00FC7592">
      <w:pPr>
        <w:pStyle w:val="FootnoteText"/>
      </w:pPr>
      <w:r>
        <w:rPr>
          <w:rStyle w:val="FootnoteReference"/>
        </w:rPr>
        <w:footnoteRef/>
      </w:r>
      <w:r>
        <w:t xml:space="preserve"> </w:t>
      </w:r>
      <w:hyperlink r:id="rId2" w:history="1">
        <w:r w:rsidRPr="00F213D7">
          <w:rPr>
            <w:rStyle w:val="Hyperlink"/>
          </w:rPr>
          <w:t>https://www.nmpf.org/wp-content/uploads/2020/11/Letter-House-Common-Food-and-Wine-Terms-Letter-USTR-USDA-11.02.2020.pdf</w:t>
        </w:r>
      </w:hyperlink>
      <w:r>
        <w:t xml:space="preserve"> </w:t>
      </w:r>
    </w:p>
  </w:footnote>
  <w:footnote w:id="4">
    <w:p w14:paraId="1AD0EE68" w14:textId="0DD9BB25" w:rsidR="001D3AF2" w:rsidRDefault="001D3AF2">
      <w:pPr>
        <w:pStyle w:val="FootnoteText"/>
      </w:pPr>
      <w:r>
        <w:rPr>
          <w:rStyle w:val="FootnoteReference"/>
        </w:rPr>
        <w:footnoteRef/>
      </w:r>
      <w:r>
        <w:t xml:space="preserve"> </w:t>
      </w:r>
      <w:r w:rsidRPr="00B87E5F">
        <w:t>https://ustr.gov/sites/default/files/uploads/pdfs/PDFs/December%202012/062011%20Kim-Kirk%20Letter%20on%20GIs.pdf</w:t>
      </w:r>
    </w:p>
  </w:footnote>
  <w:footnote w:id="5">
    <w:p w14:paraId="746BF5B7" w14:textId="5239C4FA" w:rsidR="001D3AF2" w:rsidRPr="00F5128A" w:rsidRDefault="001D3AF2">
      <w:pPr>
        <w:pStyle w:val="FootnoteText"/>
      </w:pPr>
      <w:r w:rsidRPr="00F5128A">
        <w:rPr>
          <w:rStyle w:val="FootnoteReference"/>
        </w:rPr>
        <w:footnoteRef/>
      </w:r>
      <w:r w:rsidRPr="00F5128A">
        <w:t xml:space="preserve"> </w:t>
      </w:r>
      <w:hyperlink r:id="rId3" w:history="1">
        <w:r w:rsidRPr="00F5128A">
          <w:rPr>
            <w:rStyle w:val="Hyperlink"/>
            <w:bCs/>
          </w:rPr>
          <w:t>https://www.bilaterals.org/IMG/pdf/20180829123331.pdf</w:t>
        </w:r>
      </w:hyperlink>
      <w:r w:rsidRPr="00F5128A">
        <w:rPr>
          <w:bC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7030" w14:textId="6C97D0AA" w:rsidR="001D3AF2" w:rsidRDefault="001D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B6BCC" w14:textId="172CF878" w:rsidR="001D3AF2" w:rsidRDefault="001D3AF2">
    <w:pPr>
      <w:pStyle w:val="Header"/>
      <w:jc w:val="center"/>
    </w:pPr>
    <w:r>
      <w:rPr>
        <w:noProof/>
      </w:rPr>
      <w:drawing>
        <wp:anchor distT="0" distB="0" distL="114300" distR="114300" simplePos="0" relativeHeight="251659264" behindDoc="1" locked="0" layoutInCell="1" allowOverlap="1" wp14:anchorId="72E7755D" wp14:editId="767B581E">
          <wp:simplePos x="0" y="0"/>
          <wp:positionH relativeFrom="margin">
            <wp:align>center</wp:align>
          </wp:positionH>
          <wp:positionV relativeFrom="paragraph">
            <wp:posOffset>152250</wp:posOffset>
          </wp:positionV>
          <wp:extent cx="3239135" cy="995680"/>
          <wp:effectExtent l="0" t="0" r="0" b="0"/>
          <wp:wrapNone/>
          <wp:docPr id="10" name="Picture 10" descr="CCF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F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135" cy="99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B6884" w14:textId="2B962FE4" w:rsidR="001D3AF2" w:rsidRDefault="001D3AF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13EF" w14:textId="138190AC" w:rsidR="001D3AF2" w:rsidRDefault="001D3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CC8"/>
    <w:multiLevelType w:val="hybridMultilevel"/>
    <w:tmpl w:val="165E57F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B754AB2"/>
    <w:multiLevelType w:val="hybridMultilevel"/>
    <w:tmpl w:val="88967F5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5354629"/>
    <w:multiLevelType w:val="hybridMultilevel"/>
    <w:tmpl w:val="D8DE5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9051C5"/>
    <w:multiLevelType w:val="hybridMultilevel"/>
    <w:tmpl w:val="E4ECC6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82E43F9"/>
    <w:multiLevelType w:val="hybridMultilevel"/>
    <w:tmpl w:val="E80A6A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800ABB"/>
    <w:multiLevelType w:val="hybridMultilevel"/>
    <w:tmpl w:val="BFC6C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68AB"/>
    <w:multiLevelType w:val="hybridMultilevel"/>
    <w:tmpl w:val="FC7A72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96DDC"/>
    <w:multiLevelType w:val="hybridMultilevel"/>
    <w:tmpl w:val="D54AEE9E"/>
    <w:lvl w:ilvl="0" w:tplc="18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7444F"/>
    <w:multiLevelType w:val="hybridMultilevel"/>
    <w:tmpl w:val="2FBEEC62"/>
    <w:lvl w:ilvl="0" w:tplc="19CE6D3E">
      <w:start w:val="1"/>
      <w:numFmt w:val="bullet"/>
      <w:lvlText w:val="•"/>
      <w:lvlJc w:val="left"/>
      <w:pPr>
        <w:tabs>
          <w:tab w:val="num" w:pos="720"/>
        </w:tabs>
        <w:ind w:left="720" w:hanging="360"/>
      </w:pPr>
      <w:rPr>
        <w:rFonts w:ascii="Arial" w:hAnsi="Arial" w:hint="default"/>
      </w:rPr>
    </w:lvl>
    <w:lvl w:ilvl="1" w:tplc="82F463FE">
      <w:numFmt w:val="none"/>
      <w:lvlText w:val=""/>
      <w:lvlJc w:val="left"/>
      <w:pPr>
        <w:tabs>
          <w:tab w:val="num" w:pos="360"/>
        </w:tabs>
      </w:pPr>
    </w:lvl>
    <w:lvl w:ilvl="2" w:tplc="6E3094CA">
      <w:numFmt w:val="none"/>
      <w:lvlText w:val=""/>
      <w:lvlJc w:val="left"/>
      <w:pPr>
        <w:tabs>
          <w:tab w:val="num" w:pos="360"/>
        </w:tabs>
      </w:pPr>
    </w:lvl>
    <w:lvl w:ilvl="3" w:tplc="9D8C9A76" w:tentative="1">
      <w:start w:val="1"/>
      <w:numFmt w:val="bullet"/>
      <w:lvlText w:val="•"/>
      <w:lvlJc w:val="left"/>
      <w:pPr>
        <w:tabs>
          <w:tab w:val="num" w:pos="2880"/>
        </w:tabs>
        <w:ind w:left="2880" w:hanging="360"/>
      </w:pPr>
      <w:rPr>
        <w:rFonts w:ascii="Arial" w:hAnsi="Arial" w:hint="default"/>
      </w:rPr>
    </w:lvl>
    <w:lvl w:ilvl="4" w:tplc="2A14C402" w:tentative="1">
      <w:start w:val="1"/>
      <w:numFmt w:val="bullet"/>
      <w:lvlText w:val="•"/>
      <w:lvlJc w:val="left"/>
      <w:pPr>
        <w:tabs>
          <w:tab w:val="num" w:pos="3600"/>
        </w:tabs>
        <w:ind w:left="3600" w:hanging="360"/>
      </w:pPr>
      <w:rPr>
        <w:rFonts w:ascii="Arial" w:hAnsi="Arial" w:hint="default"/>
      </w:rPr>
    </w:lvl>
    <w:lvl w:ilvl="5" w:tplc="0D2EDFCC" w:tentative="1">
      <w:start w:val="1"/>
      <w:numFmt w:val="bullet"/>
      <w:lvlText w:val="•"/>
      <w:lvlJc w:val="left"/>
      <w:pPr>
        <w:tabs>
          <w:tab w:val="num" w:pos="4320"/>
        </w:tabs>
        <w:ind w:left="4320" w:hanging="360"/>
      </w:pPr>
      <w:rPr>
        <w:rFonts w:ascii="Arial" w:hAnsi="Arial" w:hint="default"/>
      </w:rPr>
    </w:lvl>
    <w:lvl w:ilvl="6" w:tplc="1B26D4A6" w:tentative="1">
      <w:start w:val="1"/>
      <w:numFmt w:val="bullet"/>
      <w:lvlText w:val="•"/>
      <w:lvlJc w:val="left"/>
      <w:pPr>
        <w:tabs>
          <w:tab w:val="num" w:pos="5040"/>
        </w:tabs>
        <w:ind w:left="5040" w:hanging="360"/>
      </w:pPr>
      <w:rPr>
        <w:rFonts w:ascii="Arial" w:hAnsi="Arial" w:hint="default"/>
      </w:rPr>
    </w:lvl>
    <w:lvl w:ilvl="7" w:tplc="8876AE9E" w:tentative="1">
      <w:start w:val="1"/>
      <w:numFmt w:val="bullet"/>
      <w:lvlText w:val="•"/>
      <w:lvlJc w:val="left"/>
      <w:pPr>
        <w:tabs>
          <w:tab w:val="num" w:pos="5760"/>
        </w:tabs>
        <w:ind w:left="5760" w:hanging="360"/>
      </w:pPr>
      <w:rPr>
        <w:rFonts w:ascii="Arial" w:hAnsi="Arial" w:hint="default"/>
      </w:rPr>
    </w:lvl>
    <w:lvl w:ilvl="8" w:tplc="620244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D101E6"/>
    <w:multiLevelType w:val="multilevel"/>
    <w:tmpl w:val="06E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C65146"/>
    <w:multiLevelType w:val="multilevel"/>
    <w:tmpl w:val="853E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D5A06"/>
    <w:multiLevelType w:val="hybridMultilevel"/>
    <w:tmpl w:val="D33C6016"/>
    <w:lvl w:ilvl="0" w:tplc="987AF942">
      <w:start w:val="1"/>
      <w:numFmt w:val="bullet"/>
      <w:lvlText w:val="•"/>
      <w:lvlJc w:val="left"/>
      <w:pPr>
        <w:tabs>
          <w:tab w:val="num" w:pos="720"/>
        </w:tabs>
        <w:ind w:left="720" w:hanging="360"/>
      </w:pPr>
      <w:rPr>
        <w:rFonts w:ascii="Arial" w:hAnsi="Arial" w:hint="default"/>
      </w:rPr>
    </w:lvl>
    <w:lvl w:ilvl="1" w:tplc="F52C3C80" w:tentative="1">
      <w:start w:val="1"/>
      <w:numFmt w:val="bullet"/>
      <w:lvlText w:val="•"/>
      <w:lvlJc w:val="left"/>
      <w:pPr>
        <w:tabs>
          <w:tab w:val="num" w:pos="1440"/>
        </w:tabs>
        <w:ind w:left="1440" w:hanging="360"/>
      </w:pPr>
      <w:rPr>
        <w:rFonts w:ascii="Arial" w:hAnsi="Arial" w:hint="default"/>
      </w:rPr>
    </w:lvl>
    <w:lvl w:ilvl="2" w:tplc="54AE05DC" w:tentative="1">
      <w:start w:val="1"/>
      <w:numFmt w:val="bullet"/>
      <w:lvlText w:val="•"/>
      <w:lvlJc w:val="left"/>
      <w:pPr>
        <w:tabs>
          <w:tab w:val="num" w:pos="2160"/>
        </w:tabs>
        <w:ind w:left="2160" w:hanging="360"/>
      </w:pPr>
      <w:rPr>
        <w:rFonts w:ascii="Arial" w:hAnsi="Arial" w:hint="default"/>
      </w:rPr>
    </w:lvl>
    <w:lvl w:ilvl="3" w:tplc="344C9398" w:tentative="1">
      <w:start w:val="1"/>
      <w:numFmt w:val="bullet"/>
      <w:lvlText w:val="•"/>
      <w:lvlJc w:val="left"/>
      <w:pPr>
        <w:tabs>
          <w:tab w:val="num" w:pos="2880"/>
        </w:tabs>
        <w:ind w:left="2880" w:hanging="360"/>
      </w:pPr>
      <w:rPr>
        <w:rFonts w:ascii="Arial" w:hAnsi="Arial" w:hint="default"/>
      </w:rPr>
    </w:lvl>
    <w:lvl w:ilvl="4" w:tplc="C8B2EF02" w:tentative="1">
      <w:start w:val="1"/>
      <w:numFmt w:val="bullet"/>
      <w:lvlText w:val="•"/>
      <w:lvlJc w:val="left"/>
      <w:pPr>
        <w:tabs>
          <w:tab w:val="num" w:pos="3600"/>
        </w:tabs>
        <w:ind w:left="3600" w:hanging="360"/>
      </w:pPr>
      <w:rPr>
        <w:rFonts w:ascii="Arial" w:hAnsi="Arial" w:hint="default"/>
      </w:rPr>
    </w:lvl>
    <w:lvl w:ilvl="5" w:tplc="E7320696" w:tentative="1">
      <w:start w:val="1"/>
      <w:numFmt w:val="bullet"/>
      <w:lvlText w:val="•"/>
      <w:lvlJc w:val="left"/>
      <w:pPr>
        <w:tabs>
          <w:tab w:val="num" w:pos="4320"/>
        </w:tabs>
        <w:ind w:left="4320" w:hanging="360"/>
      </w:pPr>
      <w:rPr>
        <w:rFonts w:ascii="Arial" w:hAnsi="Arial" w:hint="default"/>
      </w:rPr>
    </w:lvl>
    <w:lvl w:ilvl="6" w:tplc="0A3AA386" w:tentative="1">
      <w:start w:val="1"/>
      <w:numFmt w:val="bullet"/>
      <w:lvlText w:val="•"/>
      <w:lvlJc w:val="left"/>
      <w:pPr>
        <w:tabs>
          <w:tab w:val="num" w:pos="5040"/>
        </w:tabs>
        <w:ind w:left="5040" w:hanging="360"/>
      </w:pPr>
      <w:rPr>
        <w:rFonts w:ascii="Arial" w:hAnsi="Arial" w:hint="default"/>
      </w:rPr>
    </w:lvl>
    <w:lvl w:ilvl="7" w:tplc="C1EC2BC6" w:tentative="1">
      <w:start w:val="1"/>
      <w:numFmt w:val="bullet"/>
      <w:lvlText w:val="•"/>
      <w:lvlJc w:val="left"/>
      <w:pPr>
        <w:tabs>
          <w:tab w:val="num" w:pos="5760"/>
        </w:tabs>
        <w:ind w:left="5760" w:hanging="360"/>
      </w:pPr>
      <w:rPr>
        <w:rFonts w:ascii="Arial" w:hAnsi="Arial" w:hint="default"/>
      </w:rPr>
    </w:lvl>
    <w:lvl w:ilvl="8" w:tplc="C93C96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03DCD"/>
    <w:multiLevelType w:val="hybridMultilevel"/>
    <w:tmpl w:val="3EA83C6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2F22D47"/>
    <w:multiLevelType w:val="hybridMultilevel"/>
    <w:tmpl w:val="8DE29B2C"/>
    <w:lvl w:ilvl="0" w:tplc="04090001">
      <w:start w:val="1"/>
      <w:numFmt w:val="bullet"/>
      <w:lvlText w:val=""/>
      <w:lvlJc w:val="left"/>
      <w:pPr>
        <w:ind w:left="1504" w:hanging="360"/>
      </w:pPr>
      <w:rPr>
        <w:rFonts w:ascii="Symbol" w:hAnsi="Symbol" w:hint="default"/>
      </w:rPr>
    </w:lvl>
    <w:lvl w:ilvl="1" w:tplc="04090003">
      <w:start w:val="1"/>
      <w:numFmt w:val="bullet"/>
      <w:lvlText w:val="o"/>
      <w:lvlJc w:val="left"/>
      <w:pPr>
        <w:ind w:left="2224" w:hanging="360"/>
      </w:pPr>
      <w:rPr>
        <w:rFonts w:ascii="Courier New" w:hAnsi="Courier New" w:cs="Courier New" w:hint="default"/>
      </w:rPr>
    </w:lvl>
    <w:lvl w:ilvl="2" w:tplc="04090005">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4" w15:restartNumberingAfterBreak="0">
    <w:nsid w:val="34167D2B"/>
    <w:multiLevelType w:val="hybridMultilevel"/>
    <w:tmpl w:val="FA88C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52C07"/>
    <w:multiLevelType w:val="hybridMultilevel"/>
    <w:tmpl w:val="6F50E4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E7663C8"/>
    <w:multiLevelType w:val="hybridMultilevel"/>
    <w:tmpl w:val="795C4554"/>
    <w:lvl w:ilvl="0" w:tplc="1E0E8046">
      <w:numFmt w:val="bullet"/>
      <w:lvlText w:val="•"/>
      <w:lvlJc w:val="left"/>
      <w:pPr>
        <w:ind w:left="1890" w:hanging="360"/>
      </w:pPr>
      <w:rPr>
        <w:rFonts w:ascii="Arial" w:eastAsia="Arial"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A42110"/>
    <w:multiLevelType w:val="hybridMultilevel"/>
    <w:tmpl w:val="CE02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D0FE5"/>
    <w:multiLevelType w:val="hybridMultilevel"/>
    <w:tmpl w:val="3A9E33E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48273CF5"/>
    <w:multiLevelType w:val="hybridMultilevel"/>
    <w:tmpl w:val="A800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37A6D"/>
    <w:multiLevelType w:val="hybridMultilevel"/>
    <w:tmpl w:val="0C708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070518"/>
    <w:multiLevelType w:val="hybridMultilevel"/>
    <w:tmpl w:val="1D98A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C038A"/>
    <w:multiLevelType w:val="multilevel"/>
    <w:tmpl w:val="FD28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D444AC"/>
    <w:multiLevelType w:val="hybridMultilevel"/>
    <w:tmpl w:val="51521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344514"/>
    <w:multiLevelType w:val="hybridMultilevel"/>
    <w:tmpl w:val="9F4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15B73"/>
    <w:multiLevelType w:val="hybridMultilevel"/>
    <w:tmpl w:val="0636C08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1181A7E"/>
    <w:multiLevelType w:val="hybridMultilevel"/>
    <w:tmpl w:val="32FC77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624703C4"/>
    <w:multiLevelType w:val="hybridMultilevel"/>
    <w:tmpl w:val="F454F25A"/>
    <w:lvl w:ilvl="0" w:tplc="1E0E8046">
      <w:numFmt w:val="bullet"/>
      <w:lvlText w:val="•"/>
      <w:lvlJc w:val="left"/>
      <w:pPr>
        <w:ind w:left="1170" w:hanging="360"/>
      </w:pPr>
      <w:rPr>
        <w:rFonts w:ascii="Arial" w:eastAsia="Arial"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8CA4E19"/>
    <w:multiLevelType w:val="hybridMultilevel"/>
    <w:tmpl w:val="5C545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234A6"/>
    <w:multiLevelType w:val="hybridMultilevel"/>
    <w:tmpl w:val="05E0B50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551F29"/>
    <w:multiLevelType w:val="hybridMultilevel"/>
    <w:tmpl w:val="34F86C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6F55629A"/>
    <w:multiLevelType w:val="hybridMultilevel"/>
    <w:tmpl w:val="AF5C0E2A"/>
    <w:lvl w:ilvl="0" w:tplc="D1C61A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8431F"/>
    <w:multiLevelType w:val="hybridMultilevel"/>
    <w:tmpl w:val="88B043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78F7C60"/>
    <w:multiLevelType w:val="hybridMultilevel"/>
    <w:tmpl w:val="2EDAE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3057D4"/>
    <w:multiLevelType w:val="hybridMultilevel"/>
    <w:tmpl w:val="42DEA4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1"/>
  </w:num>
  <w:num w:numId="2">
    <w:abstractNumId w:val="25"/>
  </w:num>
  <w:num w:numId="3">
    <w:abstractNumId w:val="24"/>
  </w:num>
  <w:num w:numId="4">
    <w:abstractNumId w:val="19"/>
  </w:num>
  <w:num w:numId="5">
    <w:abstractNumId w:val="31"/>
  </w:num>
  <w:num w:numId="6">
    <w:abstractNumId w:val="4"/>
  </w:num>
  <w:num w:numId="7">
    <w:abstractNumId w:val="30"/>
  </w:num>
  <w:num w:numId="8">
    <w:abstractNumId w:val="12"/>
  </w:num>
  <w:num w:numId="9">
    <w:abstractNumId w:val="32"/>
  </w:num>
  <w:num w:numId="10">
    <w:abstractNumId w:val="8"/>
  </w:num>
  <w:num w:numId="11">
    <w:abstractNumId w:val="22"/>
  </w:num>
  <w:num w:numId="12">
    <w:abstractNumId w:val="2"/>
  </w:num>
  <w:num w:numId="13">
    <w:abstractNumId w:val="33"/>
  </w:num>
  <w:num w:numId="14">
    <w:abstractNumId w:val="6"/>
  </w:num>
  <w:num w:numId="15">
    <w:abstractNumId w:val="10"/>
  </w:num>
  <w:num w:numId="16">
    <w:abstractNumId w:val="28"/>
  </w:num>
  <w:num w:numId="17">
    <w:abstractNumId w:val="11"/>
  </w:num>
  <w:num w:numId="18">
    <w:abstractNumId w:val="1"/>
  </w:num>
  <w:num w:numId="19">
    <w:abstractNumId w:val="15"/>
  </w:num>
  <w:num w:numId="20">
    <w:abstractNumId w:val="13"/>
  </w:num>
  <w:num w:numId="21">
    <w:abstractNumId w:val="23"/>
  </w:num>
  <w:num w:numId="22">
    <w:abstractNumId w:val="20"/>
  </w:num>
  <w:num w:numId="23">
    <w:abstractNumId w:val="0"/>
  </w:num>
  <w:num w:numId="24">
    <w:abstractNumId w:val="27"/>
  </w:num>
  <w:num w:numId="25">
    <w:abstractNumId w:val="16"/>
  </w:num>
  <w:num w:numId="26">
    <w:abstractNumId w:val="7"/>
  </w:num>
  <w:num w:numId="27">
    <w:abstractNumId w:val="9"/>
  </w:num>
  <w:num w:numId="28">
    <w:abstractNumId w:val="5"/>
  </w:num>
  <w:num w:numId="29">
    <w:abstractNumId w:val="29"/>
  </w:num>
  <w:num w:numId="30">
    <w:abstractNumId w:val="17"/>
  </w:num>
  <w:num w:numId="31">
    <w:abstractNumId w:val="14"/>
  </w:num>
  <w:num w:numId="32">
    <w:abstractNumId w:val="34"/>
  </w:num>
  <w:num w:numId="33">
    <w:abstractNumId w:val="26"/>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A5"/>
    <w:rsid w:val="000010E9"/>
    <w:rsid w:val="00003643"/>
    <w:rsid w:val="00006C1D"/>
    <w:rsid w:val="00010970"/>
    <w:rsid w:val="00015CC6"/>
    <w:rsid w:val="00020F5E"/>
    <w:rsid w:val="000216DB"/>
    <w:rsid w:val="0003443E"/>
    <w:rsid w:val="000432A5"/>
    <w:rsid w:val="0005006F"/>
    <w:rsid w:val="0005553E"/>
    <w:rsid w:val="0005601E"/>
    <w:rsid w:val="0006574C"/>
    <w:rsid w:val="00074C96"/>
    <w:rsid w:val="0008062E"/>
    <w:rsid w:val="00081EDF"/>
    <w:rsid w:val="000829E4"/>
    <w:rsid w:val="00083073"/>
    <w:rsid w:val="000841AB"/>
    <w:rsid w:val="000942F9"/>
    <w:rsid w:val="00095998"/>
    <w:rsid w:val="000A4C60"/>
    <w:rsid w:val="000B0983"/>
    <w:rsid w:val="000B1E60"/>
    <w:rsid w:val="000B7BDE"/>
    <w:rsid w:val="000C1EEC"/>
    <w:rsid w:val="000D4624"/>
    <w:rsid w:val="000D4B25"/>
    <w:rsid w:val="000D522E"/>
    <w:rsid w:val="000D7B70"/>
    <w:rsid w:val="000E1DDB"/>
    <w:rsid w:val="000E32D0"/>
    <w:rsid w:val="000E5AEC"/>
    <w:rsid w:val="000E66E9"/>
    <w:rsid w:val="000F270B"/>
    <w:rsid w:val="000F3AAA"/>
    <w:rsid w:val="000F4787"/>
    <w:rsid w:val="00105A82"/>
    <w:rsid w:val="001109F7"/>
    <w:rsid w:val="00110F5E"/>
    <w:rsid w:val="00113DE4"/>
    <w:rsid w:val="00114F11"/>
    <w:rsid w:val="00125205"/>
    <w:rsid w:val="0012722B"/>
    <w:rsid w:val="001305BC"/>
    <w:rsid w:val="001314ED"/>
    <w:rsid w:val="00134F4E"/>
    <w:rsid w:val="00135A2C"/>
    <w:rsid w:val="001560DD"/>
    <w:rsid w:val="001652F4"/>
    <w:rsid w:val="00171AB7"/>
    <w:rsid w:val="00175816"/>
    <w:rsid w:val="00184406"/>
    <w:rsid w:val="00192CD7"/>
    <w:rsid w:val="001A45CB"/>
    <w:rsid w:val="001B48F4"/>
    <w:rsid w:val="001B6BD4"/>
    <w:rsid w:val="001C56BC"/>
    <w:rsid w:val="001D08D7"/>
    <w:rsid w:val="001D16B8"/>
    <w:rsid w:val="001D3AF2"/>
    <w:rsid w:val="001D491F"/>
    <w:rsid w:val="001E04F7"/>
    <w:rsid w:val="001E157A"/>
    <w:rsid w:val="001E4F94"/>
    <w:rsid w:val="001E6AC2"/>
    <w:rsid w:val="001E737A"/>
    <w:rsid w:val="001F2890"/>
    <w:rsid w:val="001F4990"/>
    <w:rsid w:val="001F616D"/>
    <w:rsid w:val="00200D9C"/>
    <w:rsid w:val="00211181"/>
    <w:rsid w:val="00226A8A"/>
    <w:rsid w:val="002356E4"/>
    <w:rsid w:val="00253558"/>
    <w:rsid w:val="00267F81"/>
    <w:rsid w:val="002706DF"/>
    <w:rsid w:val="00270905"/>
    <w:rsid w:val="00270A21"/>
    <w:rsid w:val="00274593"/>
    <w:rsid w:val="00281310"/>
    <w:rsid w:val="00281678"/>
    <w:rsid w:val="00281ED5"/>
    <w:rsid w:val="00290B0E"/>
    <w:rsid w:val="00292A60"/>
    <w:rsid w:val="00296364"/>
    <w:rsid w:val="00297A8A"/>
    <w:rsid w:val="002A0250"/>
    <w:rsid w:val="002A44C5"/>
    <w:rsid w:val="002B204C"/>
    <w:rsid w:val="002C10D9"/>
    <w:rsid w:val="002C6625"/>
    <w:rsid w:val="002E2990"/>
    <w:rsid w:val="002E2B5C"/>
    <w:rsid w:val="002E500D"/>
    <w:rsid w:val="002F5A91"/>
    <w:rsid w:val="002F5EEB"/>
    <w:rsid w:val="003113EB"/>
    <w:rsid w:val="00321B26"/>
    <w:rsid w:val="00327BA1"/>
    <w:rsid w:val="003312D6"/>
    <w:rsid w:val="0034545F"/>
    <w:rsid w:val="00346881"/>
    <w:rsid w:val="00364B35"/>
    <w:rsid w:val="0036561B"/>
    <w:rsid w:val="00367F50"/>
    <w:rsid w:val="0037565A"/>
    <w:rsid w:val="00380D75"/>
    <w:rsid w:val="0038529C"/>
    <w:rsid w:val="00393A5D"/>
    <w:rsid w:val="00394439"/>
    <w:rsid w:val="003947D0"/>
    <w:rsid w:val="00395AFE"/>
    <w:rsid w:val="00396947"/>
    <w:rsid w:val="003A0E62"/>
    <w:rsid w:val="003A59B2"/>
    <w:rsid w:val="003B17AF"/>
    <w:rsid w:val="003C2AFD"/>
    <w:rsid w:val="003C31CB"/>
    <w:rsid w:val="003C4F04"/>
    <w:rsid w:val="003C4FA3"/>
    <w:rsid w:val="003D42C4"/>
    <w:rsid w:val="003D591C"/>
    <w:rsid w:val="003D7DFC"/>
    <w:rsid w:val="003E61AD"/>
    <w:rsid w:val="003E7156"/>
    <w:rsid w:val="003E7975"/>
    <w:rsid w:val="003F16C5"/>
    <w:rsid w:val="003F1F57"/>
    <w:rsid w:val="003F7A56"/>
    <w:rsid w:val="004002CC"/>
    <w:rsid w:val="00400B06"/>
    <w:rsid w:val="00411F2E"/>
    <w:rsid w:val="00413C1A"/>
    <w:rsid w:val="00415B5C"/>
    <w:rsid w:val="00420B89"/>
    <w:rsid w:val="0043501A"/>
    <w:rsid w:val="00436EA4"/>
    <w:rsid w:val="004420FF"/>
    <w:rsid w:val="00446D78"/>
    <w:rsid w:val="00454478"/>
    <w:rsid w:val="00467E0C"/>
    <w:rsid w:val="00482B9C"/>
    <w:rsid w:val="004850A9"/>
    <w:rsid w:val="00486819"/>
    <w:rsid w:val="004916FF"/>
    <w:rsid w:val="00494A51"/>
    <w:rsid w:val="004B5588"/>
    <w:rsid w:val="004D011D"/>
    <w:rsid w:val="004D48A5"/>
    <w:rsid w:val="004E6B37"/>
    <w:rsid w:val="004E6C6A"/>
    <w:rsid w:val="004F5466"/>
    <w:rsid w:val="004F6848"/>
    <w:rsid w:val="004F6B75"/>
    <w:rsid w:val="0052036C"/>
    <w:rsid w:val="00524FD4"/>
    <w:rsid w:val="0052576A"/>
    <w:rsid w:val="0053099C"/>
    <w:rsid w:val="00533ECA"/>
    <w:rsid w:val="0053623C"/>
    <w:rsid w:val="00537200"/>
    <w:rsid w:val="00541ADF"/>
    <w:rsid w:val="00542DF0"/>
    <w:rsid w:val="005569D0"/>
    <w:rsid w:val="005670EB"/>
    <w:rsid w:val="005823E7"/>
    <w:rsid w:val="00583639"/>
    <w:rsid w:val="00584D4B"/>
    <w:rsid w:val="005862C5"/>
    <w:rsid w:val="00590CEE"/>
    <w:rsid w:val="00592848"/>
    <w:rsid w:val="005A64A1"/>
    <w:rsid w:val="005B2312"/>
    <w:rsid w:val="005B7363"/>
    <w:rsid w:val="005D7091"/>
    <w:rsid w:val="005D7475"/>
    <w:rsid w:val="005E0103"/>
    <w:rsid w:val="005E53E2"/>
    <w:rsid w:val="005E7809"/>
    <w:rsid w:val="005F0C6B"/>
    <w:rsid w:val="005F2B24"/>
    <w:rsid w:val="005F5990"/>
    <w:rsid w:val="005F7D34"/>
    <w:rsid w:val="0060252B"/>
    <w:rsid w:val="00604A11"/>
    <w:rsid w:val="006131BE"/>
    <w:rsid w:val="00616ABC"/>
    <w:rsid w:val="00622C99"/>
    <w:rsid w:val="00624738"/>
    <w:rsid w:val="0063143C"/>
    <w:rsid w:val="00631A80"/>
    <w:rsid w:val="00645F2C"/>
    <w:rsid w:val="00670890"/>
    <w:rsid w:val="00673656"/>
    <w:rsid w:val="00675598"/>
    <w:rsid w:val="00675E0F"/>
    <w:rsid w:val="006765F4"/>
    <w:rsid w:val="00681572"/>
    <w:rsid w:val="00684998"/>
    <w:rsid w:val="00685D6D"/>
    <w:rsid w:val="0068732F"/>
    <w:rsid w:val="006942E5"/>
    <w:rsid w:val="006A3D15"/>
    <w:rsid w:val="006A7475"/>
    <w:rsid w:val="006C117B"/>
    <w:rsid w:val="006C3CA9"/>
    <w:rsid w:val="006C494C"/>
    <w:rsid w:val="006D6925"/>
    <w:rsid w:val="006E3857"/>
    <w:rsid w:val="006E4970"/>
    <w:rsid w:val="006E57E0"/>
    <w:rsid w:val="006F0B58"/>
    <w:rsid w:val="006F1A54"/>
    <w:rsid w:val="006F1BC1"/>
    <w:rsid w:val="00700579"/>
    <w:rsid w:val="00702AF7"/>
    <w:rsid w:val="00703443"/>
    <w:rsid w:val="007106F6"/>
    <w:rsid w:val="00710AF7"/>
    <w:rsid w:val="00711833"/>
    <w:rsid w:val="00716CBA"/>
    <w:rsid w:val="007175E3"/>
    <w:rsid w:val="00721E12"/>
    <w:rsid w:val="00722E21"/>
    <w:rsid w:val="00723C08"/>
    <w:rsid w:val="007274FB"/>
    <w:rsid w:val="00727DA0"/>
    <w:rsid w:val="00730018"/>
    <w:rsid w:val="00731478"/>
    <w:rsid w:val="00731CE0"/>
    <w:rsid w:val="00732028"/>
    <w:rsid w:val="00732622"/>
    <w:rsid w:val="00733683"/>
    <w:rsid w:val="00756381"/>
    <w:rsid w:val="0076786A"/>
    <w:rsid w:val="00772EE0"/>
    <w:rsid w:val="00773BC1"/>
    <w:rsid w:val="007753F4"/>
    <w:rsid w:val="00775B39"/>
    <w:rsid w:val="00780618"/>
    <w:rsid w:val="00783F6C"/>
    <w:rsid w:val="00784D80"/>
    <w:rsid w:val="007870F6"/>
    <w:rsid w:val="0078749A"/>
    <w:rsid w:val="0079712A"/>
    <w:rsid w:val="007A5A13"/>
    <w:rsid w:val="007B315A"/>
    <w:rsid w:val="007B32CE"/>
    <w:rsid w:val="007B5442"/>
    <w:rsid w:val="007B5C3A"/>
    <w:rsid w:val="007C0F3F"/>
    <w:rsid w:val="007D4A94"/>
    <w:rsid w:val="007D69B1"/>
    <w:rsid w:val="007E5324"/>
    <w:rsid w:val="007E7E7C"/>
    <w:rsid w:val="007F43E3"/>
    <w:rsid w:val="007F61A9"/>
    <w:rsid w:val="007F7160"/>
    <w:rsid w:val="00803FBD"/>
    <w:rsid w:val="00805153"/>
    <w:rsid w:val="008122A4"/>
    <w:rsid w:val="00814A6F"/>
    <w:rsid w:val="00817B74"/>
    <w:rsid w:val="00822CEE"/>
    <w:rsid w:val="00827FE9"/>
    <w:rsid w:val="00830E2F"/>
    <w:rsid w:val="0083122E"/>
    <w:rsid w:val="00831A4A"/>
    <w:rsid w:val="008323D2"/>
    <w:rsid w:val="008327BA"/>
    <w:rsid w:val="00832915"/>
    <w:rsid w:val="008364BD"/>
    <w:rsid w:val="00847694"/>
    <w:rsid w:val="0085071F"/>
    <w:rsid w:val="0085673C"/>
    <w:rsid w:val="0086153C"/>
    <w:rsid w:val="00862F02"/>
    <w:rsid w:val="00864C5E"/>
    <w:rsid w:val="008740B9"/>
    <w:rsid w:val="00876A3D"/>
    <w:rsid w:val="008812AC"/>
    <w:rsid w:val="00881998"/>
    <w:rsid w:val="00883355"/>
    <w:rsid w:val="008A3252"/>
    <w:rsid w:val="008A46F1"/>
    <w:rsid w:val="008B14C9"/>
    <w:rsid w:val="008B3E0D"/>
    <w:rsid w:val="008B3F29"/>
    <w:rsid w:val="008B4E0F"/>
    <w:rsid w:val="008B6050"/>
    <w:rsid w:val="008B7CE7"/>
    <w:rsid w:val="008C7663"/>
    <w:rsid w:val="008D4CDF"/>
    <w:rsid w:val="008E017F"/>
    <w:rsid w:val="008E27EA"/>
    <w:rsid w:val="008E36E8"/>
    <w:rsid w:val="008E4555"/>
    <w:rsid w:val="008E59F5"/>
    <w:rsid w:val="00905B55"/>
    <w:rsid w:val="00905DAB"/>
    <w:rsid w:val="00913E41"/>
    <w:rsid w:val="00917FCC"/>
    <w:rsid w:val="0092549E"/>
    <w:rsid w:val="00933114"/>
    <w:rsid w:val="0093724A"/>
    <w:rsid w:val="009413BB"/>
    <w:rsid w:val="00955419"/>
    <w:rsid w:val="00957CCD"/>
    <w:rsid w:val="00961913"/>
    <w:rsid w:val="00967AD6"/>
    <w:rsid w:val="00971F13"/>
    <w:rsid w:val="00982E15"/>
    <w:rsid w:val="00993425"/>
    <w:rsid w:val="00993A8C"/>
    <w:rsid w:val="009962F3"/>
    <w:rsid w:val="009969CC"/>
    <w:rsid w:val="009A7AFB"/>
    <w:rsid w:val="009B63F4"/>
    <w:rsid w:val="009B6E91"/>
    <w:rsid w:val="009C0FD1"/>
    <w:rsid w:val="009C543B"/>
    <w:rsid w:val="009C673E"/>
    <w:rsid w:val="009D6D3A"/>
    <w:rsid w:val="009E1C4E"/>
    <w:rsid w:val="009E7A59"/>
    <w:rsid w:val="009F0705"/>
    <w:rsid w:val="00A05A4C"/>
    <w:rsid w:val="00A17D62"/>
    <w:rsid w:val="00A2068D"/>
    <w:rsid w:val="00A20CB9"/>
    <w:rsid w:val="00A33563"/>
    <w:rsid w:val="00A345FB"/>
    <w:rsid w:val="00A37062"/>
    <w:rsid w:val="00A403E2"/>
    <w:rsid w:val="00A511ED"/>
    <w:rsid w:val="00A54C26"/>
    <w:rsid w:val="00A57462"/>
    <w:rsid w:val="00A60F6E"/>
    <w:rsid w:val="00A7576A"/>
    <w:rsid w:val="00A758D7"/>
    <w:rsid w:val="00A76336"/>
    <w:rsid w:val="00A802ED"/>
    <w:rsid w:val="00A81750"/>
    <w:rsid w:val="00A85580"/>
    <w:rsid w:val="00AA1649"/>
    <w:rsid w:val="00AA19FA"/>
    <w:rsid w:val="00AA257A"/>
    <w:rsid w:val="00AA2D0A"/>
    <w:rsid w:val="00AB70D1"/>
    <w:rsid w:val="00AC25A8"/>
    <w:rsid w:val="00AD5E26"/>
    <w:rsid w:val="00AE3091"/>
    <w:rsid w:val="00AE785E"/>
    <w:rsid w:val="00AF730B"/>
    <w:rsid w:val="00B01113"/>
    <w:rsid w:val="00B10C77"/>
    <w:rsid w:val="00B12E0B"/>
    <w:rsid w:val="00B13883"/>
    <w:rsid w:val="00B15BAE"/>
    <w:rsid w:val="00B21E53"/>
    <w:rsid w:val="00B222A2"/>
    <w:rsid w:val="00B25018"/>
    <w:rsid w:val="00B30258"/>
    <w:rsid w:val="00B3085E"/>
    <w:rsid w:val="00B3282D"/>
    <w:rsid w:val="00B366B2"/>
    <w:rsid w:val="00B42200"/>
    <w:rsid w:val="00B43D5F"/>
    <w:rsid w:val="00B546FD"/>
    <w:rsid w:val="00B55FC3"/>
    <w:rsid w:val="00B5798B"/>
    <w:rsid w:val="00B63377"/>
    <w:rsid w:val="00B639EF"/>
    <w:rsid w:val="00B65B21"/>
    <w:rsid w:val="00B7238A"/>
    <w:rsid w:val="00B74764"/>
    <w:rsid w:val="00B83E68"/>
    <w:rsid w:val="00B87E5F"/>
    <w:rsid w:val="00BA1CE8"/>
    <w:rsid w:val="00BD27CC"/>
    <w:rsid w:val="00BD2E37"/>
    <w:rsid w:val="00BE7134"/>
    <w:rsid w:val="00BF07C7"/>
    <w:rsid w:val="00BF41B1"/>
    <w:rsid w:val="00C22155"/>
    <w:rsid w:val="00C34C0D"/>
    <w:rsid w:val="00C34D75"/>
    <w:rsid w:val="00C42C88"/>
    <w:rsid w:val="00C42FE9"/>
    <w:rsid w:val="00C47EC6"/>
    <w:rsid w:val="00C5332C"/>
    <w:rsid w:val="00C5507C"/>
    <w:rsid w:val="00C5530D"/>
    <w:rsid w:val="00C62535"/>
    <w:rsid w:val="00C67C54"/>
    <w:rsid w:val="00C800DC"/>
    <w:rsid w:val="00CA0A44"/>
    <w:rsid w:val="00CA79D0"/>
    <w:rsid w:val="00CB601B"/>
    <w:rsid w:val="00CB60FC"/>
    <w:rsid w:val="00CC7062"/>
    <w:rsid w:val="00CC78DA"/>
    <w:rsid w:val="00CD0C0E"/>
    <w:rsid w:val="00CD1CD3"/>
    <w:rsid w:val="00CE0284"/>
    <w:rsid w:val="00CE0ABC"/>
    <w:rsid w:val="00CE4856"/>
    <w:rsid w:val="00CE7934"/>
    <w:rsid w:val="00D05623"/>
    <w:rsid w:val="00D06D31"/>
    <w:rsid w:val="00D22ED1"/>
    <w:rsid w:val="00D2612F"/>
    <w:rsid w:val="00D3594B"/>
    <w:rsid w:val="00D42A9D"/>
    <w:rsid w:val="00D557C9"/>
    <w:rsid w:val="00D57F6E"/>
    <w:rsid w:val="00D65010"/>
    <w:rsid w:val="00D76902"/>
    <w:rsid w:val="00D771A1"/>
    <w:rsid w:val="00D85889"/>
    <w:rsid w:val="00D8656B"/>
    <w:rsid w:val="00DA0610"/>
    <w:rsid w:val="00DA2DFD"/>
    <w:rsid w:val="00DA6856"/>
    <w:rsid w:val="00DB5847"/>
    <w:rsid w:val="00DC577A"/>
    <w:rsid w:val="00DD550B"/>
    <w:rsid w:val="00DD76FF"/>
    <w:rsid w:val="00DD77B1"/>
    <w:rsid w:val="00DE02A9"/>
    <w:rsid w:val="00DE6656"/>
    <w:rsid w:val="00DE7AA2"/>
    <w:rsid w:val="00DF2E57"/>
    <w:rsid w:val="00DF3629"/>
    <w:rsid w:val="00DF763E"/>
    <w:rsid w:val="00E006CC"/>
    <w:rsid w:val="00E06FA8"/>
    <w:rsid w:val="00E11872"/>
    <w:rsid w:val="00E15B6E"/>
    <w:rsid w:val="00E227B3"/>
    <w:rsid w:val="00E25172"/>
    <w:rsid w:val="00E322FC"/>
    <w:rsid w:val="00E35841"/>
    <w:rsid w:val="00E430A2"/>
    <w:rsid w:val="00E61EA5"/>
    <w:rsid w:val="00E67687"/>
    <w:rsid w:val="00E730D6"/>
    <w:rsid w:val="00E85AD7"/>
    <w:rsid w:val="00E85EAF"/>
    <w:rsid w:val="00E8797D"/>
    <w:rsid w:val="00E953EC"/>
    <w:rsid w:val="00E96FDF"/>
    <w:rsid w:val="00EA1CFC"/>
    <w:rsid w:val="00EA2761"/>
    <w:rsid w:val="00EA538F"/>
    <w:rsid w:val="00EA6883"/>
    <w:rsid w:val="00EB4C10"/>
    <w:rsid w:val="00EB5DE0"/>
    <w:rsid w:val="00EB6EBF"/>
    <w:rsid w:val="00EC355D"/>
    <w:rsid w:val="00ED561E"/>
    <w:rsid w:val="00EE27D6"/>
    <w:rsid w:val="00EE3016"/>
    <w:rsid w:val="00EE7125"/>
    <w:rsid w:val="00EF357E"/>
    <w:rsid w:val="00EF4E9D"/>
    <w:rsid w:val="00EF59CC"/>
    <w:rsid w:val="00F02AC3"/>
    <w:rsid w:val="00F06F04"/>
    <w:rsid w:val="00F17018"/>
    <w:rsid w:val="00F2632A"/>
    <w:rsid w:val="00F26B15"/>
    <w:rsid w:val="00F27246"/>
    <w:rsid w:val="00F35815"/>
    <w:rsid w:val="00F511F0"/>
    <w:rsid w:val="00F5128A"/>
    <w:rsid w:val="00F63C47"/>
    <w:rsid w:val="00F718F9"/>
    <w:rsid w:val="00F839DE"/>
    <w:rsid w:val="00F86C31"/>
    <w:rsid w:val="00F93767"/>
    <w:rsid w:val="00F93994"/>
    <w:rsid w:val="00F97C54"/>
    <w:rsid w:val="00FA3D7B"/>
    <w:rsid w:val="00FA4AF5"/>
    <w:rsid w:val="00FA66C3"/>
    <w:rsid w:val="00FB508F"/>
    <w:rsid w:val="00FC389D"/>
    <w:rsid w:val="00FC7592"/>
    <w:rsid w:val="00FD0309"/>
    <w:rsid w:val="00FD144A"/>
    <w:rsid w:val="00FD17FA"/>
    <w:rsid w:val="00FD388A"/>
    <w:rsid w:val="00FD4797"/>
    <w:rsid w:val="00FE2948"/>
    <w:rsid w:val="00FF0445"/>
    <w:rsid w:val="00FF2FB1"/>
    <w:rsid w:val="00FF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3DFC0"/>
  <w15:docId w15:val="{0AC9CF58-CCAE-6847-B1AD-68A32E5A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98"/>
  </w:style>
  <w:style w:type="paragraph" w:styleId="Heading1">
    <w:name w:val="heading 1"/>
    <w:basedOn w:val="Normal"/>
    <w:link w:val="Heading1Char"/>
    <w:uiPriority w:val="9"/>
    <w:qFormat/>
    <w:rsid w:val="00226A8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3947D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61EA5"/>
    <w:pPr>
      <w:spacing w:after="120"/>
    </w:pPr>
  </w:style>
  <w:style w:type="character" w:customStyle="1" w:styleId="BodyTextChar">
    <w:name w:val="Body Text Char"/>
    <w:basedOn w:val="DefaultParagraphFont"/>
    <w:link w:val="BodyText"/>
    <w:uiPriority w:val="99"/>
    <w:rsid w:val="00E61EA5"/>
  </w:style>
  <w:style w:type="paragraph" w:styleId="Header">
    <w:name w:val="header"/>
    <w:basedOn w:val="Normal"/>
    <w:link w:val="HeaderChar"/>
    <w:uiPriority w:val="99"/>
    <w:unhideWhenUsed/>
    <w:rsid w:val="00E61EA5"/>
    <w:pPr>
      <w:tabs>
        <w:tab w:val="center" w:pos="4680"/>
        <w:tab w:val="right" w:pos="9360"/>
      </w:tabs>
    </w:pPr>
  </w:style>
  <w:style w:type="character" w:customStyle="1" w:styleId="HeaderChar">
    <w:name w:val="Header Char"/>
    <w:basedOn w:val="DefaultParagraphFont"/>
    <w:link w:val="Header"/>
    <w:uiPriority w:val="99"/>
    <w:rsid w:val="00E61EA5"/>
  </w:style>
  <w:style w:type="paragraph" w:styleId="Footer">
    <w:name w:val="footer"/>
    <w:basedOn w:val="Normal"/>
    <w:link w:val="FooterChar"/>
    <w:uiPriority w:val="99"/>
    <w:unhideWhenUsed/>
    <w:rsid w:val="00E61EA5"/>
    <w:pPr>
      <w:tabs>
        <w:tab w:val="center" w:pos="4680"/>
        <w:tab w:val="right" w:pos="9360"/>
      </w:tabs>
    </w:pPr>
  </w:style>
  <w:style w:type="character" w:customStyle="1" w:styleId="FooterChar">
    <w:name w:val="Footer Char"/>
    <w:basedOn w:val="DefaultParagraphFont"/>
    <w:link w:val="Footer"/>
    <w:uiPriority w:val="99"/>
    <w:rsid w:val="00E61EA5"/>
  </w:style>
  <w:style w:type="paragraph" w:styleId="BalloonText">
    <w:name w:val="Balloon Text"/>
    <w:basedOn w:val="Normal"/>
    <w:link w:val="BalloonTextChar"/>
    <w:uiPriority w:val="99"/>
    <w:semiHidden/>
    <w:unhideWhenUsed/>
    <w:rsid w:val="006F1A54"/>
    <w:rPr>
      <w:rFonts w:ascii="Tahoma" w:hAnsi="Tahoma" w:cs="Tahoma"/>
      <w:sz w:val="16"/>
      <w:szCs w:val="16"/>
    </w:rPr>
  </w:style>
  <w:style w:type="character" w:customStyle="1" w:styleId="BalloonTextChar">
    <w:name w:val="Balloon Text Char"/>
    <w:basedOn w:val="DefaultParagraphFont"/>
    <w:link w:val="BalloonText"/>
    <w:uiPriority w:val="99"/>
    <w:semiHidden/>
    <w:rsid w:val="006F1A54"/>
    <w:rPr>
      <w:rFonts w:ascii="Tahoma" w:hAnsi="Tahoma" w:cs="Tahoma"/>
      <w:sz w:val="16"/>
      <w:szCs w:val="16"/>
    </w:rPr>
  </w:style>
  <w:style w:type="character" w:styleId="CommentReference">
    <w:name w:val="annotation reference"/>
    <w:basedOn w:val="DefaultParagraphFont"/>
    <w:uiPriority w:val="99"/>
    <w:semiHidden/>
    <w:unhideWhenUsed/>
    <w:rsid w:val="00C34C0D"/>
    <w:rPr>
      <w:sz w:val="16"/>
      <w:szCs w:val="16"/>
    </w:rPr>
  </w:style>
  <w:style w:type="paragraph" w:styleId="CommentText">
    <w:name w:val="annotation text"/>
    <w:basedOn w:val="Normal"/>
    <w:link w:val="CommentTextChar"/>
    <w:uiPriority w:val="99"/>
    <w:semiHidden/>
    <w:unhideWhenUsed/>
    <w:rsid w:val="00C34C0D"/>
    <w:rPr>
      <w:sz w:val="20"/>
      <w:szCs w:val="20"/>
    </w:rPr>
  </w:style>
  <w:style w:type="character" w:customStyle="1" w:styleId="CommentTextChar">
    <w:name w:val="Comment Text Char"/>
    <w:basedOn w:val="DefaultParagraphFont"/>
    <w:link w:val="CommentText"/>
    <w:uiPriority w:val="99"/>
    <w:semiHidden/>
    <w:rsid w:val="00C34C0D"/>
    <w:rPr>
      <w:sz w:val="20"/>
      <w:szCs w:val="20"/>
    </w:rPr>
  </w:style>
  <w:style w:type="paragraph" w:styleId="CommentSubject">
    <w:name w:val="annotation subject"/>
    <w:basedOn w:val="CommentText"/>
    <w:next w:val="CommentText"/>
    <w:link w:val="CommentSubjectChar"/>
    <w:uiPriority w:val="99"/>
    <w:semiHidden/>
    <w:unhideWhenUsed/>
    <w:rsid w:val="00C34C0D"/>
    <w:rPr>
      <w:b/>
      <w:bCs/>
    </w:rPr>
  </w:style>
  <w:style w:type="character" w:customStyle="1" w:styleId="CommentSubjectChar">
    <w:name w:val="Comment Subject Char"/>
    <w:basedOn w:val="CommentTextChar"/>
    <w:link w:val="CommentSubject"/>
    <w:uiPriority w:val="99"/>
    <w:semiHidden/>
    <w:rsid w:val="00C34C0D"/>
    <w:rPr>
      <w:b/>
      <w:bCs/>
      <w:sz w:val="20"/>
      <w:szCs w:val="20"/>
    </w:rPr>
  </w:style>
  <w:style w:type="paragraph" w:customStyle="1" w:styleId="wText">
    <w:name w:val="wText"/>
    <w:basedOn w:val="Normal"/>
    <w:link w:val="wTextChar"/>
    <w:uiPriority w:val="1"/>
    <w:qFormat/>
    <w:rsid w:val="008E36E8"/>
    <w:pPr>
      <w:spacing w:after="240"/>
      <w:jc w:val="both"/>
    </w:pPr>
    <w:rPr>
      <w:rFonts w:ascii="Times New Roman" w:eastAsia="MS Mincho" w:hAnsi="Times New Roman"/>
      <w:sz w:val="24"/>
    </w:rPr>
  </w:style>
  <w:style w:type="character" w:customStyle="1" w:styleId="wTextChar">
    <w:name w:val="wText Char"/>
    <w:basedOn w:val="DefaultParagraphFont"/>
    <w:link w:val="wText"/>
    <w:uiPriority w:val="1"/>
    <w:rsid w:val="008E36E8"/>
    <w:rPr>
      <w:rFonts w:ascii="Times New Roman" w:eastAsia="MS Mincho" w:hAnsi="Times New Roman"/>
      <w:sz w:val="24"/>
    </w:rPr>
  </w:style>
  <w:style w:type="character" w:styleId="Hyperlink">
    <w:name w:val="Hyperlink"/>
    <w:basedOn w:val="DefaultParagraphFont"/>
    <w:uiPriority w:val="99"/>
    <w:unhideWhenUsed/>
    <w:rsid w:val="007D4A94"/>
    <w:rPr>
      <w:color w:val="0563C1" w:themeColor="hyperlink"/>
      <w:u w:val="single"/>
    </w:rPr>
  </w:style>
  <w:style w:type="paragraph" w:styleId="ListParagraph">
    <w:name w:val="List Paragraph"/>
    <w:aliases w:val="Bullet List,FooterText,List Paragraph1,Colorful List Accent 1,Colorful List - Accent 11,Colorful List - Accent 111,Párrafo de lista,numbered,Bulletr List Paragraph,列出段落1,Listeafsnit1,Parágrafo da Lista1,List Paragraph2,List Paragraph21"/>
    <w:basedOn w:val="Normal"/>
    <w:link w:val="ListParagraphChar"/>
    <w:uiPriority w:val="34"/>
    <w:qFormat/>
    <w:rsid w:val="006F1BC1"/>
    <w:pPr>
      <w:ind w:left="720"/>
      <w:contextualSpacing/>
    </w:pPr>
  </w:style>
  <w:style w:type="paragraph" w:customStyle="1" w:styleId="font8">
    <w:name w:val="font_8"/>
    <w:basedOn w:val="Normal"/>
    <w:rsid w:val="00ED561E"/>
    <w:pPr>
      <w:spacing w:before="100" w:beforeAutospacing="1" w:after="100" w:afterAutospacing="1"/>
    </w:pPr>
    <w:rPr>
      <w:rFonts w:ascii="Times New Roman" w:eastAsia="Times New Roman" w:hAnsi="Times New Roman" w:cs="Times New Roman"/>
      <w:sz w:val="24"/>
      <w:szCs w:val="24"/>
    </w:rPr>
  </w:style>
  <w:style w:type="character" w:customStyle="1" w:styleId="color2">
    <w:name w:val="color_2"/>
    <w:basedOn w:val="DefaultParagraphFont"/>
    <w:rsid w:val="00ED561E"/>
  </w:style>
  <w:style w:type="character" w:styleId="FollowedHyperlink">
    <w:name w:val="FollowedHyperlink"/>
    <w:basedOn w:val="DefaultParagraphFont"/>
    <w:uiPriority w:val="99"/>
    <w:semiHidden/>
    <w:unhideWhenUsed/>
    <w:rsid w:val="006F0B58"/>
    <w:rPr>
      <w:color w:val="954F72" w:themeColor="followedHyperlink"/>
      <w:u w:val="single"/>
    </w:rPr>
  </w:style>
  <w:style w:type="character" w:customStyle="1" w:styleId="s1">
    <w:name w:val="s1"/>
    <w:basedOn w:val="DefaultParagraphFont"/>
    <w:rsid w:val="00711833"/>
  </w:style>
  <w:style w:type="paragraph" w:styleId="NormalWeb">
    <w:name w:val="Normal (Web)"/>
    <w:basedOn w:val="Normal"/>
    <w:uiPriority w:val="99"/>
    <w:semiHidden/>
    <w:unhideWhenUsed/>
    <w:rsid w:val="005F0C6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F0C6B"/>
    <w:rPr>
      <w:b/>
      <w:bCs/>
    </w:rPr>
  </w:style>
  <w:style w:type="character" w:customStyle="1" w:styleId="apple-converted-space">
    <w:name w:val="apple-converted-space"/>
    <w:basedOn w:val="DefaultParagraphFont"/>
    <w:rsid w:val="005F0C6B"/>
  </w:style>
  <w:style w:type="character" w:customStyle="1" w:styleId="offscreen">
    <w:name w:val="offscreen"/>
    <w:basedOn w:val="DefaultParagraphFont"/>
    <w:rsid w:val="005F0C6B"/>
  </w:style>
  <w:style w:type="character" w:customStyle="1" w:styleId="Heading1Char">
    <w:name w:val="Heading 1 Char"/>
    <w:basedOn w:val="DefaultParagraphFont"/>
    <w:link w:val="Heading1"/>
    <w:uiPriority w:val="9"/>
    <w:rsid w:val="00226A8A"/>
    <w:rPr>
      <w:rFonts w:ascii="Times New Roman" w:eastAsia="Times New Roman" w:hAnsi="Times New Roman" w:cs="Times New Roman"/>
      <w:b/>
      <w:bCs/>
      <w:kern w:val="36"/>
      <w:sz w:val="48"/>
      <w:szCs w:val="48"/>
    </w:rPr>
  </w:style>
  <w:style w:type="paragraph" w:customStyle="1" w:styleId="info">
    <w:name w:val="info"/>
    <w:basedOn w:val="Normal"/>
    <w:rsid w:val="00226A8A"/>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70A21"/>
    <w:rPr>
      <w:rFonts w:ascii="Calibri" w:hAnsi="Calibri"/>
      <w:szCs w:val="21"/>
    </w:rPr>
  </w:style>
  <w:style w:type="character" w:customStyle="1" w:styleId="PlainTextChar">
    <w:name w:val="Plain Text Char"/>
    <w:basedOn w:val="DefaultParagraphFont"/>
    <w:link w:val="PlainText"/>
    <w:uiPriority w:val="99"/>
    <w:semiHidden/>
    <w:rsid w:val="00270A21"/>
    <w:rPr>
      <w:rFonts w:ascii="Calibri" w:hAnsi="Calibri"/>
      <w:szCs w:val="21"/>
    </w:rPr>
  </w:style>
  <w:style w:type="character" w:customStyle="1" w:styleId="Heading5Char">
    <w:name w:val="Heading 5 Char"/>
    <w:basedOn w:val="DefaultParagraphFont"/>
    <w:link w:val="Heading5"/>
    <w:uiPriority w:val="9"/>
    <w:semiHidden/>
    <w:rsid w:val="003947D0"/>
    <w:rPr>
      <w:rFonts w:asciiTheme="majorHAnsi" w:eastAsiaTheme="majorEastAsia" w:hAnsiTheme="majorHAnsi" w:cstheme="majorBidi"/>
      <w:color w:val="2F5496" w:themeColor="accent1" w:themeShade="BF"/>
    </w:rPr>
  </w:style>
  <w:style w:type="paragraph" w:customStyle="1" w:styleId="img-justification-right">
    <w:name w:val="img-justification-right"/>
    <w:basedOn w:val="Normal"/>
    <w:rsid w:val="003947D0"/>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F4990"/>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7106F6"/>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7106F6"/>
    <w:rPr>
      <w:rFonts w:ascii="Courier" w:hAnsi="Courier"/>
      <w:sz w:val="20"/>
      <w:szCs w:val="20"/>
    </w:rPr>
  </w:style>
  <w:style w:type="character" w:customStyle="1" w:styleId="UnresolvedMention1">
    <w:name w:val="Unresolved Mention1"/>
    <w:basedOn w:val="DefaultParagraphFont"/>
    <w:uiPriority w:val="99"/>
    <w:semiHidden/>
    <w:unhideWhenUsed/>
    <w:rsid w:val="00B01113"/>
    <w:rPr>
      <w:color w:val="605E5C"/>
      <w:shd w:val="clear" w:color="auto" w:fill="E1DFDD"/>
    </w:rPr>
  </w:style>
  <w:style w:type="paragraph" w:styleId="FootnoteText">
    <w:name w:val="footnote text"/>
    <w:basedOn w:val="Normal"/>
    <w:link w:val="FootnoteTextChar"/>
    <w:uiPriority w:val="99"/>
    <w:semiHidden/>
    <w:unhideWhenUsed/>
    <w:rsid w:val="001B48F4"/>
    <w:rPr>
      <w:sz w:val="20"/>
      <w:szCs w:val="20"/>
    </w:rPr>
  </w:style>
  <w:style w:type="character" w:customStyle="1" w:styleId="FootnoteTextChar">
    <w:name w:val="Footnote Text Char"/>
    <w:basedOn w:val="DefaultParagraphFont"/>
    <w:link w:val="FootnoteText"/>
    <w:uiPriority w:val="99"/>
    <w:semiHidden/>
    <w:rsid w:val="001B48F4"/>
    <w:rPr>
      <w:sz w:val="20"/>
      <w:szCs w:val="20"/>
    </w:rPr>
  </w:style>
  <w:style w:type="character" w:styleId="FootnoteReference">
    <w:name w:val="footnote reference"/>
    <w:basedOn w:val="DefaultParagraphFont"/>
    <w:uiPriority w:val="99"/>
    <w:semiHidden/>
    <w:unhideWhenUsed/>
    <w:rsid w:val="001B48F4"/>
    <w:rPr>
      <w:vertAlign w:val="superscript"/>
    </w:rPr>
  </w:style>
  <w:style w:type="paragraph" w:customStyle="1" w:styleId="p1">
    <w:name w:val="p1"/>
    <w:basedOn w:val="Normal"/>
    <w:rsid w:val="001314ED"/>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Colorful List Accent 1 Char,Colorful List - Accent 11 Char,Colorful List - Accent 111 Char,Párrafo de lista Char,numbered Char,Bulletr List Paragraph Char,列出段落1 Char"/>
    <w:basedOn w:val="DefaultParagraphFont"/>
    <w:link w:val="ListParagraph"/>
    <w:uiPriority w:val="34"/>
    <w:locked/>
    <w:rsid w:val="0085071F"/>
  </w:style>
  <w:style w:type="character" w:styleId="UnresolvedMention">
    <w:name w:val="Unresolved Mention"/>
    <w:basedOn w:val="DefaultParagraphFont"/>
    <w:uiPriority w:val="99"/>
    <w:semiHidden/>
    <w:unhideWhenUsed/>
    <w:rsid w:val="00CB601B"/>
    <w:rPr>
      <w:color w:val="605E5C"/>
      <w:shd w:val="clear" w:color="auto" w:fill="E1DFDD"/>
    </w:rPr>
  </w:style>
  <w:style w:type="character" w:styleId="Emphasis">
    <w:name w:val="Emphasis"/>
    <w:basedOn w:val="DefaultParagraphFont"/>
    <w:uiPriority w:val="20"/>
    <w:qFormat/>
    <w:rsid w:val="003A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921">
      <w:bodyDiv w:val="1"/>
      <w:marLeft w:val="0"/>
      <w:marRight w:val="0"/>
      <w:marTop w:val="0"/>
      <w:marBottom w:val="0"/>
      <w:divBdr>
        <w:top w:val="none" w:sz="0" w:space="0" w:color="auto"/>
        <w:left w:val="none" w:sz="0" w:space="0" w:color="auto"/>
        <w:bottom w:val="none" w:sz="0" w:space="0" w:color="auto"/>
        <w:right w:val="none" w:sz="0" w:space="0" w:color="auto"/>
      </w:divBdr>
      <w:divsChild>
        <w:div w:id="1555502535">
          <w:marLeft w:val="0"/>
          <w:marRight w:val="0"/>
          <w:marTop w:val="0"/>
          <w:marBottom w:val="0"/>
          <w:divBdr>
            <w:top w:val="none" w:sz="0" w:space="0" w:color="auto"/>
            <w:left w:val="none" w:sz="0" w:space="0" w:color="auto"/>
            <w:bottom w:val="none" w:sz="0" w:space="0" w:color="auto"/>
            <w:right w:val="none" w:sz="0" w:space="0" w:color="auto"/>
          </w:divBdr>
          <w:divsChild>
            <w:div w:id="2121559557">
              <w:marLeft w:val="0"/>
              <w:marRight w:val="0"/>
              <w:marTop w:val="0"/>
              <w:marBottom w:val="0"/>
              <w:divBdr>
                <w:top w:val="none" w:sz="0" w:space="0" w:color="auto"/>
                <w:left w:val="none" w:sz="0" w:space="0" w:color="auto"/>
                <w:bottom w:val="none" w:sz="0" w:space="0" w:color="auto"/>
                <w:right w:val="none" w:sz="0" w:space="0" w:color="auto"/>
              </w:divBdr>
              <w:divsChild>
                <w:div w:id="2134443452">
                  <w:marLeft w:val="0"/>
                  <w:marRight w:val="0"/>
                  <w:marTop w:val="0"/>
                  <w:marBottom w:val="0"/>
                  <w:divBdr>
                    <w:top w:val="none" w:sz="0" w:space="0" w:color="auto"/>
                    <w:left w:val="none" w:sz="0" w:space="0" w:color="auto"/>
                    <w:bottom w:val="none" w:sz="0" w:space="0" w:color="auto"/>
                    <w:right w:val="none" w:sz="0" w:space="0" w:color="auto"/>
                  </w:divBdr>
                  <w:divsChild>
                    <w:div w:id="1923563918">
                      <w:marLeft w:val="0"/>
                      <w:marRight w:val="0"/>
                      <w:marTop w:val="0"/>
                      <w:marBottom w:val="0"/>
                      <w:divBdr>
                        <w:top w:val="none" w:sz="0" w:space="0" w:color="auto"/>
                        <w:left w:val="none" w:sz="0" w:space="0" w:color="auto"/>
                        <w:bottom w:val="none" w:sz="0" w:space="0" w:color="auto"/>
                        <w:right w:val="none" w:sz="0" w:space="0" w:color="auto"/>
                      </w:divBdr>
                      <w:divsChild>
                        <w:div w:id="1835681706">
                          <w:marLeft w:val="0"/>
                          <w:marRight w:val="0"/>
                          <w:marTop w:val="0"/>
                          <w:marBottom w:val="0"/>
                          <w:divBdr>
                            <w:top w:val="none" w:sz="0" w:space="0" w:color="auto"/>
                            <w:left w:val="none" w:sz="0" w:space="0" w:color="auto"/>
                            <w:bottom w:val="none" w:sz="0" w:space="0" w:color="auto"/>
                            <w:right w:val="none" w:sz="0" w:space="0" w:color="auto"/>
                          </w:divBdr>
                          <w:divsChild>
                            <w:div w:id="1675955807">
                              <w:marLeft w:val="0"/>
                              <w:marRight w:val="0"/>
                              <w:marTop w:val="0"/>
                              <w:marBottom w:val="0"/>
                              <w:divBdr>
                                <w:top w:val="none" w:sz="0" w:space="0" w:color="auto"/>
                                <w:left w:val="none" w:sz="0" w:space="0" w:color="auto"/>
                                <w:bottom w:val="none" w:sz="0" w:space="0" w:color="auto"/>
                                <w:right w:val="none" w:sz="0" w:space="0" w:color="auto"/>
                              </w:divBdr>
                              <w:divsChild>
                                <w:div w:id="1437795241">
                                  <w:marLeft w:val="0"/>
                                  <w:marRight w:val="0"/>
                                  <w:marTop w:val="0"/>
                                  <w:marBottom w:val="0"/>
                                  <w:divBdr>
                                    <w:top w:val="none" w:sz="0" w:space="0" w:color="auto"/>
                                    <w:left w:val="none" w:sz="0" w:space="0" w:color="auto"/>
                                    <w:bottom w:val="none" w:sz="0" w:space="0" w:color="auto"/>
                                    <w:right w:val="none" w:sz="0" w:space="0" w:color="auto"/>
                                  </w:divBdr>
                                  <w:divsChild>
                                    <w:div w:id="467094198">
                                      <w:marLeft w:val="0"/>
                                      <w:marRight w:val="0"/>
                                      <w:marTop w:val="0"/>
                                      <w:marBottom w:val="0"/>
                                      <w:divBdr>
                                        <w:top w:val="none" w:sz="0" w:space="0" w:color="auto"/>
                                        <w:left w:val="none" w:sz="0" w:space="0" w:color="auto"/>
                                        <w:bottom w:val="none" w:sz="0" w:space="0" w:color="auto"/>
                                        <w:right w:val="none" w:sz="0" w:space="0" w:color="auto"/>
                                      </w:divBdr>
                                      <w:divsChild>
                                        <w:div w:id="1365860663">
                                          <w:marLeft w:val="0"/>
                                          <w:marRight w:val="0"/>
                                          <w:marTop w:val="0"/>
                                          <w:marBottom w:val="0"/>
                                          <w:divBdr>
                                            <w:top w:val="none" w:sz="0" w:space="0" w:color="auto"/>
                                            <w:left w:val="none" w:sz="0" w:space="0" w:color="auto"/>
                                            <w:bottom w:val="none" w:sz="0" w:space="0" w:color="auto"/>
                                            <w:right w:val="none" w:sz="0" w:space="0" w:color="auto"/>
                                          </w:divBdr>
                                          <w:divsChild>
                                            <w:div w:id="2140803322">
                                              <w:marLeft w:val="0"/>
                                              <w:marRight w:val="0"/>
                                              <w:marTop w:val="0"/>
                                              <w:marBottom w:val="0"/>
                                              <w:divBdr>
                                                <w:top w:val="none" w:sz="0" w:space="0" w:color="auto"/>
                                                <w:left w:val="none" w:sz="0" w:space="0" w:color="auto"/>
                                                <w:bottom w:val="none" w:sz="0" w:space="0" w:color="auto"/>
                                                <w:right w:val="none" w:sz="0" w:space="0" w:color="auto"/>
                                              </w:divBdr>
                                              <w:divsChild>
                                                <w:div w:id="18945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84359">
      <w:bodyDiv w:val="1"/>
      <w:marLeft w:val="0"/>
      <w:marRight w:val="0"/>
      <w:marTop w:val="0"/>
      <w:marBottom w:val="0"/>
      <w:divBdr>
        <w:top w:val="none" w:sz="0" w:space="0" w:color="auto"/>
        <w:left w:val="none" w:sz="0" w:space="0" w:color="auto"/>
        <w:bottom w:val="none" w:sz="0" w:space="0" w:color="auto"/>
        <w:right w:val="none" w:sz="0" w:space="0" w:color="auto"/>
      </w:divBdr>
      <w:divsChild>
        <w:div w:id="55518314">
          <w:marLeft w:val="0"/>
          <w:marRight w:val="0"/>
          <w:marTop w:val="0"/>
          <w:marBottom w:val="0"/>
          <w:divBdr>
            <w:top w:val="none" w:sz="0" w:space="0" w:color="auto"/>
            <w:left w:val="none" w:sz="0" w:space="0" w:color="auto"/>
            <w:bottom w:val="none" w:sz="0" w:space="0" w:color="auto"/>
            <w:right w:val="none" w:sz="0" w:space="0" w:color="auto"/>
          </w:divBdr>
          <w:divsChild>
            <w:div w:id="1161891607">
              <w:marLeft w:val="0"/>
              <w:marRight w:val="0"/>
              <w:marTop w:val="0"/>
              <w:marBottom w:val="0"/>
              <w:divBdr>
                <w:top w:val="none" w:sz="0" w:space="0" w:color="auto"/>
                <w:left w:val="none" w:sz="0" w:space="0" w:color="auto"/>
                <w:bottom w:val="none" w:sz="0" w:space="0" w:color="auto"/>
                <w:right w:val="none" w:sz="0" w:space="0" w:color="auto"/>
              </w:divBdr>
              <w:divsChild>
                <w:div w:id="1602255679">
                  <w:marLeft w:val="0"/>
                  <w:marRight w:val="0"/>
                  <w:marTop w:val="0"/>
                  <w:marBottom w:val="0"/>
                  <w:divBdr>
                    <w:top w:val="none" w:sz="0" w:space="0" w:color="auto"/>
                    <w:left w:val="none" w:sz="0" w:space="0" w:color="auto"/>
                    <w:bottom w:val="none" w:sz="0" w:space="0" w:color="auto"/>
                    <w:right w:val="none" w:sz="0" w:space="0" w:color="auto"/>
                  </w:divBdr>
                  <w:divsChild>
                    <w:div w:id="119038695">
                      <w:marLeft w:val="0"/>
                      <w:marRight w:val="0"/>
                      <w:marTop w:val="0"/>
                      <w:marBottom w:val="0"/>
                      <w:divBdr>
                        <w:top w:val="none" w:sz="0" w:space="0" w:color="auto"/>
                        <w:left w:val="none" w:sz="0" w:space="0" w:color="auto"/>
                        <w:bottom w:val="none" w:sz="0" w:space="0" w:color="auto"/>
                        <w:right w:val="none" w:sz="0" w:space="0" w:color="auto"/>
                      </w:divBdr>
                      <w:divsChild>
                        <w:div w:id="1987464261">
                          <w:marLeft w:val="0"/>
                          <w:marRight w:val="0"/>
                          <w:marTop w:val="0"/>
                          <w:marBottom w:val="0"/>
                          <w:divBdr>
                            <w:top w:val="none" w:sz="0" w:space="0" w:color="auto"/>
                            <w:left w:val="none" w:sz="0" w:space="0" w:color="auto"/>
                            <w:bottom w:val="none" w:sz="0" w:space="0" w:color="auto"/>
                            <w:right w:val="none" w:sz="0" w:space="0" w:color="auto"/>
                          </w:divBdr>
                          <w:divsChild>
                            <w:div w:id="1722750957">
                              <w:marLeft w:val="0"/>
                              <w:marRight w:val="0"/>
                              <w:marTop w:val="0"/>
                              <w:marBottom w:val="0"/>
                              <w:divBdr>
                                <w:top w:val="none" w:sz="0" w:space="0" w:color="auto"/>
                                <w:left w:val="none" w:sz="0" w:space="0" w:color="auto"/>
                                <w:bottom w:val="none" w:sz="0" w:space="0" w:color="auto"/>
                                <w:right w:val="none" w:sz="0" w:space="0" w:color="auto"/>
                              </w:divBdr>
                              <w:divsChild>
                                <w:div w:id="580916148">
                                  <w:marLeft w:val="0"/>
                                  <w:marRight w:val="0"/>
                                  <w:marTop w:val="0"/>
                                  <w:marBottom w:val="0"/>
                                  <w:divBdr>
                                    <w:top w:val="none" w:sz="0" w:space="0" w:color="auto"/>
                                    <w:left w:val="none" w:sz="0" w:space="0" w:color="auto"/>
                                    <w:bottom w:val="none" w:sz="0" w:space="0" w:color="auto"/>
                                    <w:right w:val="none" w:sz="0" w:space="0" w:color="auto"/>
                                  </w:divBdr>
                                  <w:divsChild>
                                    <w:div w:id="1336417927">
                                      <w:marLeft w:val="0"/>
                                      <w:marRight w:val="0"/>
                                      <w:marTop w:val="0"/>
                                      <w:marBottom w:val="0"/>
                                      <w:divBdr>
                                        <w:top w:val="none" w:sz="0" w:space="0" w:color="auto"/>
                                        <w:left w:val="none" w:sz="0" w:space="0" w:color="auto"/>
                                        <w:bottom w:val="none" w:sz="0" w:space="0" w:color="auto"/>
                                        <w:right w:val="none" w:sz="0" w:space="0" w:color="auto"/>
                                      </w:divBdr>
                                      <w:divsChild>
                                        <w:div w:id="74279302">
                                          <w:marLeft w:val="0"/>
                                          <w:marRight w:val="0"/>
                                          <w:marTop w:val="0"/>
                                          <w:marBottom w:val="0"/>
                                          <w:divBdr>
                                            <w:top w:val="none" w:sz="0" w:space="0" w:color="auto"/>
                                            <w:left w:val="none" w:sz="0" w:space="0" w:color="auto"/>
                                            <w:bottom w:val="none" w:sz="0" w:space="0" w:color="auto"/>
                                            <w:right w:val="none" w:sz="0" w:space="0" w:color="auto"/>
                                          </w:divBdr>
                                          <w:divsChild>
                                            <w:div w:id="1086148347">
                                              <w:marLeft w:val="0"/>
                                              <w:marRight w:val="0"/>
                                              <w:marTop w:val="0"/>
                                              <w:marBottom w:val="0"/>
                                              <w:divBdr>
                                                <w:top w:val="none" w:sz="0" w:space="0" w:color="auto"/>
                                                <w:left w:val="none" w:sz="0" w:space="0" w:color="auto"/>
                                                <w:bottom w:val="none" w:sz="0" w:space="0" w:color="auto"/>
                                                <w:right w:val="none" w:sz="0" w:space="0" w:color="auto"/>
                                              </w:divBdr>
                                              <w:divsChild>
                                                <w:div w:id="10415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55766">
      <w:bodyDiv w:val="1"/>
      <w:marLeft w:val="0"/>
      <w:marRight w:val="0"/>
      <w:marTop w:val="0"/>
      <w:marBottom w:val="0"/>
      <w:divBdr>
        <w:top w:val="none" w:sz="0" w:space="0" w:color="auto"/>
        <w:left w:val="none" w:sz="0" w:space="0" w:color="auto"/>
        <w:bottom w:val="none" w:sz="0" w:space="0" w:color="auto"/>
        <w:right w:val="none" w:sz="0" w:space="0" w:color="auto"/>
      </w:divBdr>
    </w:div>
    <w:div w:id="63453664">
      <w:bodyDiv w:val="1"/>
      <w:marLeft w:val="0"/>
      <w:marRight w:val="0"/>
      <w:marTop w:val="0"/>
      <w:marBottom w:val="0"/>
      <w:divBdr>
        <w:top w:val="none" w:sz="0" w:space="0" w:color="auto"/>
        <w:left w:val="none" w:sz="0" w:space="0" w:color="auto"/>
        <w:bottom w:val="none" w:sz="0" w:space="0" w:color="auto"/>
        <w:right w:val="none" w:sz="0" w:space="0" w:color="auto"/>
      </w:divBdr>
      <w:divsChild>
        <w:div w:id="640577420">
          <w:marLeft w:val="0"/>
          <w:marRight w:val="0"/>
          <w:marTop w:val="0"/>
          <w:marBottom w:val="0"/>
          <w:divBdr>
            <w:top w:val="none" w:sz="0" w:space="0" w:color="auto"/>
            <w:left w:val="none" w:sz="0" w:space="0" w:color="auto"/>
            <w:bottom w:val="none" w:sz="0" w:space="0" w:color="auto"/>
            <w:right w:val="none" w:sz="0" w:space="0" w:color="auto"/>
          </w:divBdr>
          <w:divsChild>
            <w:div w:id="1945187696">
              <w:marLeft w:val="0"/>
              <w:marRight w:val="0"/>
              <w:marTop w:val="0"/>
              <w:marBottom w:val="0"/>
              <w:divBdr>
                <w:top w:val="none" w:sz="0" w:space="0" w:color="auto"/>
                <w:left w:val="none" w:sz="0" w:space="0" w:color="auto"/>
                <w:bottom w:val="none" w:sz="0" w:space="0" w:color="auto"/>
                <w:right w:val="none" w:sz="0" w:space="0" w:color="auto"/>
              </w:divBdr>
              <w:divsChild>
                <w:div w:id="1071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6315">
      <w:bodyDiv w:val="1"/>
      <w:marLeft w:val="0"/>
      <w:marRight w:val="0"/>
      <w:marTop w:val="0"/>
      <w:marBottom w:val="0"/>
      <w:divBdr>
        <w:top w:val="none" w:sz="0" w:space="0" w:color="auto"/>
        <w:left w:val="none" w:sz="0" w:space="0" w:color="auto"/>
        <w:bottom w:val="none" w:sz="0" w:space="0" w:color="auto"/>
        <w:right w:val="none" w:sz="0" w:space="0" w:color="auto"/>
      </w:divBdr>
      <w:divsChild>
        <w:div w:id="1014113776">
          <w:marLeft w:val="0"/>
          <w:marRight w:val="0"/>
          <w:marTop w:val="0"/>
          <w:marBottom w:val="0"/>
          <w:divBdr>
            <w:top w:val="none" w:sz="0" w:space="0" w:color="auto"/>
            <w:left w:val="none" w:sz="0" w:space="0" w:color="auto"/>
            <w:bottom w:val="none" w:sz="0" w:space="0" w:color="auto"/>
            <w:right w:val="none" w:sz="0" w:space="0" w:color="auto"/>
          </w:divBdr>
          <w:divsChild>
            <w:div w:id="334497430">
              <w:marLeft w:val="0"/>
              <w:marRight w:val="0"/>
              <w:marTop w:val="0"/>
              <w:marBottom w:val="0"/>
              <w:divBdr>
                <w:top w:val="none" w:sz="0" w:space="0" w:color="auto"/>
                <w:left w:val="none" w:sz="0" w:space="0" w:color="auto"/>
                <w:bottom w:val="none" w:sz="0" w:space="0" w:color="auto"/>
                <w:right w:val="none" w:sz="0" w:space="0" w:color="auto"/>
              </w:divBdr>
              <w:divsChild>
                <w:div w:id="2027512252">
                  <w:marLeft w:val="0"/>
                  <w:marRight w:val="0"/>
                  <w:marTop w:val="0"/>
                  <w:marBottom w:val="0"/>
                  <w:divBdr>
                    <w:top w:val="none" w:sz="0" w:space="0" w:color="auto"/>
                    <w:left w:val="none" w:sz="0" w:space="0" w:color="auto"/>
                    <w:bottom w:val="none" w:sz="0" w:space="0" w:color="auto"/>
                    <w:right w:val="none" w:sz="0" w:space="0" w:color="auto"/>
                  </w:divBdr>
                  <w:divsChild>
                    <w:div w:id="1698702165">
                      <w:marLeft w:val="0"/>
                      <w:marRight w:val="0"/>
                      <w:marTop w:val="0"/>
                      <w:marBottom w:val="0"/>
                      <w:divBdr>
                        <w:top w:val="none" w:sz="0" w:space="0" w:color="auto"/>
                        <w:left w:val="none" w:sz="0" w:space="0" w:color="auto"/>
                        <w:bottom w:val="none" w:sz="0" w:space="0" w:color="auto"/>
                        <w:right w:val="none" w:sz="0" w:space="0" w:color="auto"/>
                      </w:divBdr>
                      <w:divsChild>
                        <w:div w:id="19920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2948">
      <w:bodyDiv w:val="1"/>
      <w:marLeft w:val="0"/>
      <w:marRight w:val="0"/>
      <w:marTop w:val="0"/>
      <w:marBottom w:val="0"/>
      <w:divBdr>
        <w:top w:val="none" w:sz="0" w:space="0" w:color="auto"/>
        <w:left w:val="none" w:sz="0" w:space="0" w:color="auto"/>
        <w:bottom w:val="none" w:sz="0" w:space="0" w:color="auto"/>
        <w:right w:val="none" w:sz="0" w:space="0" w:color="auto"/>
      </w:divBdr>
    </w:div>
    <w:div w:id="148181523">
      <w:bodyDiv w:val="1"/>
      <w:marLeft w:val="0"/>
      <w:marRight w:val="0"/>
      <w:marTop w:val="0"/>
      <w:marBottom w:val="0"/>
      <w:divBdr>
        <w:top w:val="none" w:sz="0" w:space="0" w:color="auto"/>
        <w:left w:val="none" w:sz="0" w:space="0" w:color="auto"/>
        <w:bottom w:val="none" w:sz="0" w:space="0" w:color="auto"/>
        <w:right w:val="none" w:sz="0" w:space="0" w:color="auto"/>
      </w:divBdr>
    </w:div>
    <w:div w:id="191572640">
      <w:bodyDiv w:val="1"/>
      <w:marLeft w:val="0"/>
      <w:marRight w:val="0"/>
      <w:marTop w:val="0"/>
      <w:marBottom w:val="0"/>
      <w:divBdr>
        <w:top w:val="none" w:sz="0" w:space="0" w:color="auto"/>
        <w:left w:val="none" w:sz="0" w:space="0" w:color="auto"/>
        <w:bottom w:val="none" w:sz="0" w:space="0" w:color="auto"/>
        <w:right w:val="none" w:sz="0" w:space="0" w:color="auto"/>
      </w:divBdr>
    </w:div>
    <w:div w:id="202526515">
      <w:bodyDiv w:val="1"/>
      <w:marLeft w:val="0"/>
      <w:marRight w:val="0"/>
      <w:marTop w:val="0"/>
      <w:marBottom w:val="0"/>
      <w:divBdr>
        <w:top w:val="none" w:sz="0" w:space="0" w:color="auto"/>
        <w:left w:val="none" w:sz="0" w:space="0" w:color="auto"/>
        <w:bottom w:val="none" w:sz="0" w:space="0" w:color="auto"/>
        <w:right w:val="none" w:sz="0" w:space="0" w:color="auto"/>
      </w:divBdr>
    </w:div>
    <w:div w:id="225796953">
      <w:bodyDiv w:val="1"/>
      <w:marLeft w:val="0"/>
      <w:marRight w:val="0"/>
      <w:marTop w:val="0"/>
      <w:marBottom w:val="0"/>
      <w:divBdr>
        <w:top w:val="none" w:sz="0" w:space="0" w:color="auto"/>
        <w:left w:val="none" w:sz="0" w:space="0" w:color="auto"/>
        <w:bottom w:val="none" w:sz="0" w:space="0" w:color="auto"/>
        <w:right w:val="none" w:sz="0" w:space="0" w:color="auto"/>
      </w:divBdr>
    </w:div>
    <w:div w:id="286398213">
      <w:bodyDiv w:val="1"/>
      <w:marLeft w:val="0"/>
      <w:marRight w:val="0"/>
      <w:marTop w:val="0"/>
      <w:marBottom w:val="0"/>
      <w:divBdr>
        <w:top w:val="none" w:sz="0" w:space="0" w:color="auto"/>
        <w:left w:val="none" w:sz="0" w:space="0" w:color="auto"/>
        <w:bottom w:val="none" w:sz="0" w:space="0" w:color="auto"/>
        <w:right w:val="none" w:sz="0" w:space="0" w:color="auto"/>
      </w:divBdr>
    </w:div>
    <w:div w:id="306203987">
      <w:bodyDiv w:val="1"/>
      <w:marLeft w:val="0"/>
      <w:marRight w:val="0"/>
      <w:marTop w:val="0"/>
      <w:marBottom w:val="0"/>
      <w:divBdr>
        <w:top w:val="none" w:sz="0" w:space="0" w:color="auto"/>
        <w:left w:val="none" w:sz="0" w:space="0" w:color="auto"/>
        <w:bottom w:val="none" w:sz="0" w:space="0" w:color="auto"/>
        <w:right w:val="none" w:sz="0" w:space="0" w:color="auto"/>
      </w:divBdr>
      <w:divsChild>
        <w:div w:id="171460457">
          <w:marLeft w:val="0"/>
          <w:marRight w:val="0"/>
          <w:marTop w:val="0"/>
          <w:marBottom w:val="0"/>
          <w:divBdr>
            <w:top w:val="none" w:sz="0" w:space="0" w:color="auto"/>
            <w:left w:val="none" w:sz="0" w:space="0" w:color="auto"/>
            <w:bottom w:val="none" w:sz="0" w:space="0" w:color="auto"/>
            <w:right w:val="none" w:sz="0" w:space="0" w:color="auto"/>
          </w:divBdr>
          <w:divsChild>
            <w:div w:id="1143541021">
              <w:marLeft w:val="0"/>
              <w:marRight w:val="0"/>
              <w:marTop w:val="0"/>
              <w:marBottom w:val="0"/>
              <w:divBdr>
                <w:top w:val="none" w:sz="0" w:space="0" w:color="auto"/>
                <w:left w:val="none" w:sz="0" w:space="0" w:color="auto"/>
                <w:bottom w:val="none" w:sz="0" w:space="0" w:color="auto"/>
                <w:right w:val="none" w:sz="0" w:space="0" w:color="auto"/>
              </w:divBdr>
              <w:divsChild>
                <w:div w:id="13072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50302">
      <w:bodyDiv w:val="1"/>
      <w:marLeft w:val="0"/>
      <w:marRight w:val="0"/>
      <w:marTop w:val="0"/>
      <w:marBottom w:val="0"/>
      <w:divBdr>
        <w:top w:val="none" w:sz="0" w:space="0" w:color="auto"/>
        <w:left w:val="none" w:sz="0" w:space="0" w:color="auto"/>
        <w:bottom w:val="none" w:sz="0" w:space="0" w:color="auto"/>
        <w:right w:val="none" w:sz="0" w:space="0" w:color="auto"/>
      </w:divBdr>
      <w:divsChild>
        <w:div w:id="1125847977">
          <w:marLeft w:val="0"/>
          <w:marRight w:val="0"/>
          <w:marTop w:val="0"/>
          <w:marBottom w:val="0"/>
          <w:divBdr>
            <w:top w:val="none" w:sz="0" w:space="0" w:color="auto"/>
            <w:left w:val="none" w:sz="0" w:space="0" w:color="auto"/>
            <w:bottom w:val="none" w:sz="0" w:space="0" w:color="auto"/>
            <w:right w:val="none" w:sz="0" w:space="0" w:color="auto"/>
          </w:divBdr>
        </w:div>
        <w:div w:id="1526749284">
          <w:marLeft w:val="0"/>
          <w:marRight w:val="0"/>
          <w:marTop w:val="0"/>
          <w:marBottom w:val="0"/>
          <w:divBdr>
            <w:top w:val="none" w:sz="0" w:space="0" w:color="auto"/>
            <w:left w:val="none" w:sz="0" w:space="0" w:color="auto"/>
            <w:bottom w:val="none" w:sz="0" w:space="0" w:color="auto"/>
            <w:right w:val="none" w:sz="0" w:space="0" w:color="auto"/>
          </w:divBdr>
        </w:div>
        <w:div w:id="201792708">
          <w:marLeft w:val="0"/>
          <w:marRight w:val="0"/>
          <w:marTop w:val="0"/>
          <w:marBottom w:val="0"/>
          <w:divBdr>
            <w:top w:val="none" w:sz="0" w:space="0" w:color="auto"/>
            <w:left w:val="none" w:sz="0" w:space="0" w:color="auto"/>
            <w:bottom w:val="none" w:sz="0" w:space="0" w:color="auto"/>
            <w:right w:val="none" w:sz="0" w:space="0" w:color="auto"/>
          </w:divBdr>
        </w:div>
      </w:divsChild>
    </w:div>
    <w:div w:id="473177883">
      <w:bodyDiv w:val="1"/>
      <w:marLeft w:val="0"/>
      <w:marRight w:val="0"/>
      <w:marTop w:val="0"/>
      <w:marBottom w:val="0"/>
      <w:divBdr>
        <w:top w:val="none" w:sz="0" w:space="0" w:color="auto"/>
        <w:left w:val="none" w:sz="0" w:space="0" w:color="auto"/>
        <w:bottom w:val="none" w:sz="0" w:space="0" w:color="auto"/>
        <w:right w:val="none" w:sz="0" w:space="0" w:color="auto"/>
      </w:divBdr>
      <w:divsChild>
        <w:div w:id="1958680942">
          <w:marLeft w:val="0"/>
          <w:marRight w:val="0"/>
          <w:marTop w:val="0"/>
          <w:marBottom w:val="0"/>
          <w:divBdr>
            <w:top w:val="none" w:sz="0" w:space="0" w:color="auto"/>
            <w:left w:val="none" w:sz="0" w:space="0" w:color="auto"/>
            <w:bottom w:val="none" w:sz="0" w:space="0" w:color="auto"/>
            <w:right w:val="none" w:sz="0" w:space="0" w:color="auto"/>
          </w:divBdr>
          <w:divsChild>
            <w:div w:id="1044868517">
              <w:marLeft w:val="0"/>
              <w:marRight w:val="0"/>
              <w:marTop w:val="0"/>
              <w:marBottom w:val="0"/>
              <w:divBdr>
                <w:top w:val="none" w:sz="0" w:space="0" w:color="auto"/>
                <w:left w:val="none" w:sz="0" w:space="0" w:color="auto"/>
                <w:bottom w:val="none" w:sz="0" w:space="0" w:color="auto"/>
                <w:right w:val="none" w:sz="0" w:space="0" w:color="auto"/>
              </w:divBdr>
              <w:divsChild>
                <w:div w:id="816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9110">
      <w:bodyDiv w:val="1"/>
      <w:marLeft w:val="0"/>
      <w:marRight w:val="0"/>
      <w:marTop w:val="0"/>
      <w:marBottom w:val="0"/>
      <w:divBdr>
        <w:top w:val="none" w:sz="0" w:space="0" w:color="auto"/>
        <w:left w:val="none" w:sz="0" w:space="0" w:color="auto"/>
        <w:bottom w:val="none" w:sz="0" w:space="0" w:color="auto"/>
        <w:right w:val="none" w:sz="0" w:space="0" w:color="auto"/>
      </w:divBdr>
    </w:div>
    <w:div w:id="537087244">
      <w:bodyDiv w:val="1"/>
      <w:marLeft w:val="0"/>
      <w:marRight w:val="0"/>
      <w:marTop w:val="0"/>
      <w:marBottom w:val="0"/>
      <w:divBdr>
        <w:top w:val="none" w:sz="0" w:space="0" w:color="auto"/>
        <w:left w:val="none" w:sz="0" w:space="0" w:color="auto"/>
        <w:bottom w:val="none" w:sz="0" w:space="0" w:color="auto"/>
        <w:right w:val="none" w:sz="0" w:space="0" w:color="auto"/>
      </w:divBdr>
      <w:divsChild>
        <w:div w:id="464468203">
          <w:marLeft w:val="0"/>
          <w:marRight w:val="0"/>
          <w:marTop w:val="0"/>
          <w:marBottom w:val="0"/>
          <w:divBdr>
            <w:top w:val="none" w:sz="0" w:space="0" w:color="auto"/>
            <w:left w:val="none" w:sz="0" w:space="0" w:color="auto"/>
            <w:bottom w:val="none" w:sz="0" w:space="0" w:color="auto"/>
            <w:right w:val="none" w:sz="0" w:space="0" w:color="auto"/>
          </w:divBdr>
          <w:divsChild>
            <w:div w:id="684133571">
              <w:marLeft w:val="0"/>
              <w:marRight w:val="0"/>
              <w:marTop w:val="0"/>
              <w:marBottom w:val="0"/>
              <w:divBdr>
                <w:top w:val="none" w:sz="0" w:space="0" w:color="auto"/>
                <w:left w:val="none" w:sz="0" w:space="0" w:color="auto"/>
                <w:bottom w:val="none" w:sz="0" w:space="0" w:color="auto"/>
                <w:right w:val="none" w:sz="0" w:space="0" w:color="auto"/>
              </w:divBdr>
              <w:divsChild>
                <w:div w:id="13590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2380">
      <w:bodyDiv w:val="1"/>
      <w:marLeft w:val="0"/>
      <w:marRight w:val="0"/>
      <w:marTop w:val="0"/>
      <w:marBottom w:val="0"/>
      <w:divBdr>
        <w:top w:val="none" w:sz="0" w:space="0" w:color="auto"/>
        <w:left w:val="none" w:sz="0" w:space="0" w:color="auto"/>
        <w:bottom w:val="none" w:sz="0" w:space="0" w:color="auto"/>
        <w:right w:val="none" w:sz="0" w:space="0" w:color="auto"/>
      </w:divBdr>
    </w:div>
    <w:div w:id="607011215">
      <w:bodyDiv w:val="1"/>
      <w:marLeft w:val="0"/>
      <w:marRight w:val="0"/>
      <w:marTop w:val="0"/>
      <w:marBottom w:val="0"/>
      <w:divBdr>
        <w:top w:val="none" w:sz="0" w:space="0" w:color="auto"/>
        <w:left w:val="none" w:sz="0" w:space="0" w:color="auto"/>
        <w:bottom w:val="none" w:sz="0" w:space="0" w:color="auto"/>
        <w:right w:val="none" w:sz="0" w:space="0" w:color="auto"/>
      </w:divBdr>
    </w:div>
    <w:div w:id="609580785">
      <w:bodyDiv w:val="1"/>
      <w:marLeft w:val="0"/>
      <w:marRight w:val="0"/>
      <w:marTop w:val="0"/>
      <w:marBottom w:val="0"/>
      <w:divBdr>
        <w:top w:val="none" w:sz="0" w:space="0" w:color="auto"/>
        <w:left w:val="none" w:sz="0" w:space="0" w:color="auto"/>
        <w:bottom w:val="none" w:sz="0" w:space="0" w:color="auto"/>
        <w:right w:val="none" w:sz="0" w:space="0" w:color="auto"/>
      </w:divBdr>
    </w:div>
    <w:div w:id="633216226">
      <w:bodyDiv w:val="1"/>
      <w:marLeft w:val="0"/>
      <w:marRight w:val="0"/>
      <w:marTop w:val="0"/>
      <w:marBottom w:val="0"/>
      <w:divBdr>
        <w:top w:val="none" w:sz="0" w:space="0" w:color="auto"/>
        <w:left w:val="none" w:sz="0" w:space="0" w:color="auto"/>
        <w:bottom w:val="none" w:sz="0" w:space="0" w:color="auto"/>
        <w:right w:val="none" w:sz="0" w:space="0" w:color="auto"/>
      </w:divBdr>
      <w:divsChild>
        <w:div w:id="737019334">
          <w:marLeft w:val="547"/>
          <w:marRight w:val="0"/>
          <w:marTop w:val="134"/>
          <w:marBottom w:val="0"/>
          <w:divBdr>
            <w:top w:val="none" w:sz="0" w:space="0" w:color="auto"/>
            <w:left w:val="none" w:sz="0" w:space="0" w:color="auto"/>
            <w:bottom w:val="none" w:sz="0" w:space="0" w:color="auto"/>
            <w:right w:val="none" w:sz="0" w:space="0" w:color="auto"/>
          </w:divBdr>
        </w:div>
        <w:div w:id="1243753560">
          <w:marLeft w:val="1166"/>
          <w:marRight w:val="0"/>
          <w:marTop w:val="115"/>
          <w:marBottom w:val="0"/>
          <w:divBdr>
            <w:top w:val="none" w:sz="0" w:space="0" w:color="auto"/>
            <w:left w:val="none" w:sz="0" w:space="0" w:color="auto"/>
            <w:bottom w:val="none" w:sz="0" w:space="0" w:color="auto"/>
            <w:right w:val="none" w:sz="0" w:space="0" w:color="auto"/>
          </w:divBdr>
        </w:div>
        <w:div w:id="145635516">
          <w:marLeft w:val="1800"/>
          <w:marRight w:val="0"/>
          <w:marTop w:val="106"/>
          <w:marBottom w:val="0"/>
          <w:divBdr>
            <w:top w:val="none" w:sz="0" w:space="0" w:color="auto"/>
            <w:left w:val="none" w:sz="0" w:space="0" w:color="auto"/>
            <w:bottom w:val="none" w:sz="0" w:space="0" w:color="auto"/>
            <w:right w:val="none" w:sz="0" w:space="0" w:color="auto"/>
          </w:divBdr>
        </w:div>
        <w:div w:id="497110453">
          <w:marLeft w:val="1166"/>
          <w:marRight w:val="0"/>
          <w:marTop w:val="115"/>
          <w:marBottom w:val="0"/>
          <w:divBdr>
            <w:top w:val="none" w:sz="0" w:space="0" w:color="auto"/>
            <w:left w:val="none" w:sz="0" w:space="0" w:color="auto"/>
            <w:bottom w:val="none" w:sz="0" w:space="0" w:color="auto"/>
            <w:right w:val="none" w:sz="0" w:space="0" w:color="auto"/>
          </w:divBdr>
        </w:div>
        <w:div w:id="157119769">
          <w:marLeft w:val="1800"/>
          <w:marRight w:val="0"/>
          <w:marTop w:val="106"/>
          <w:marBottom w:val="0"/>
          <w:divBdr>
            <w:top w:val="none" w:sz="0" w:space="0" w:color="auto"/>
            <w:left w:val="none" w:sz="0" w:space="0" w:color="auto"/>
            <w:bottom w:val="none" w:sz="0" w:space="0" w:color="auto"/>
            <w:right w:val="none" w:sz="0" w:space="0" w:color="auto"/>
          </w:divBdr>
        </w:div>
        <w:div w:id="1248998455">
          <w:marLeft w:val="1166"/>
          <w:marRight w:val="0"/>
          <w:marTop w:val="115"/>
          <w:marBottom w:val="0"/>
          <w:divBdr>
            <w:top w:val="none" w:sz="0" w:space="0" w:color="auto"/>
            <w:left w:val="none" w:sz="0" w:space="0" w:color="auto"/>
            <w:bottom w:val="none" w:sz="0" w:space="0" w:color="auto"/>
            <w:right w:val="none" w:sz="0" w:space="0" w:color="auto"/>
          </w:divBdr>
        </w:div>
        <w:div w:id="686104189">
          <w:marLeft w:val="1800"/>
          <w:marRight w:val="0"/>
          <w:marTop w:val="115"/>
          <w:marBottom w:val="0"/>
          <w:divBdr>
            <w:top w:val="none" w:sz="0" w:space="0" w:color="auto"/>
            <w:left w:val="none" w:sz="0" w:space="0" w:color="auto"/>
            <w:bottom w:val="none" w:sz="0" w:space="0" w:color="auto"/>
            <w:right w:val="none" w:sz="0" w:space="0" w:color="auto"/>
          </w:divBdr>
        </w:div>
      </w:divsChild>
    </w:div>
    <w:div w:id="641422120">
      <w:bodyDiv w:val="1"/>
      <w:marLeft w:val="0"/>
      <w:marRight w:val="0"/>
      <w:marTop w:val="0"/>
      <w:marBottom w:val="0"/>
      <w:divBdr>
        <w:top w:val="none" w:sz="0" w:space="0" w:color="auto"/>
        <w:left w:val="none" w:sz="0" w:space="0" w:color="auto"/>
        <w:bottom w:val="none" w:sz="0" w:space="0" w:color="auto"/>
        <w:right w:val="none" w:sz="0" w:space="0" w:color="auto"/>
      </w:divBdr>
    </w:div>
    <w:div w:id="654073197">
      <w:bodyDiv w:val="1"/>
      <w:marLeft w:val="0"/>
      <w:marRight w:val="0"/>
      <w:marTop w:val="0"/>
      <w:marBottom w:val="0"/>
      <w:divBdr>
        <w:top w:val="none" w:sz="0" w:space="0" w:color="auto"/>
        <w:left w:val="none" w:sz="0" w:space="0" w:color="auto"/>
        <w:bottom w:val="none" w:sz="0" w:space="0" w:color="auto"/>
        <w:right w:val="none" w:sz="0" w:space="0" w:color="auto"/>
      </w:divBdr>
      <w:divsChild>
        <w:div w:id="1137146166">
          <w:marLeft w:val="0"/>
          <w:marRight w:val="0"/>
          <w:marTop w:val="0"/>
          <w:marBottom w:val="0"/>
          <w:divBdr>
            <w:top w:val="none" w:sz="0" w:space="0" w:color="auto"/>
            <w:left w:val="none" w:sz="0" w:space="0" w:color="auto"/>
            <w:bottom w:val="none" w:sz="0" w:space="0" w:color="auto"/>
            <w:right w:val="none" w:sz="0" w:space="0" w:color="auto"/>
          </w:divBdr>
          <w:divsChild>
            <w:div w:id="741563957">
              <w:marLeft w:val="0"/>
              <w:marRight w:val="0"/>
              <w:marTop w:val="0"/>
              <w:marBottom w:val="0"/>
              <w:divBdr>
                <w:top w:val="none" w:sz="0" w:space="0" w:color="auto"/>
                <w:left w:val="none" w:sz="0" w:space="0" w:color="auto"/>
                <w:bottom w:val="none" w:sz="0" w:space="0" w:color="auto"/>
                <w:right w:val="none" w:sz="0" w:space="0" w:color="auto"/>
              </w:divBdr>
              <w:divsChild>
                <w:div w:id="18720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10556">
      <w:bodyDiv w:val="1"/>
      <w:marLeft w:val="0"/>
      <w:marRight w:val="0"/>
      <w:marTop w:val="0"/>
      <w:marBottom w:val="0"/>
      <w:divBdr>
        <w:top w:val="none" w:sz="0" w:space="0" w:color="auto"/>
        <w:left w:val="none" w:sz="0" w:space="0" w:color="auto"/>
        <w:bottom w:val="none" w:sz="0" w:space="0" w:color="auto"/>
        <w:right w:val="none" w:sz="0" w:space="0" w:color="auto"/>
      </w:divBdr>
    </w:div>
    <w:div w:id="919754077">
      <w:bodyDiv w:val="1"/>
      <w:marLeft w:val="0"/>
      <w:marRight w:val="0"/>
      <w:marTop w:val="0"/>
      <w:marBottom w:val="0"/>
      <w:divBdr>
        <w:top w:val="none" w:sz="0" w:space="0" w:color="auto"/>
        <w:left w:val="none" w:sz="0" w:space="0" w:color="auto"/>
        <w:bottom w:val="none" w:sz="0" w:space="0" w:color="auto"/>
        <w:right w:val="none" w:sz="0" w:space="0" w:color="auto"/>
      </w:divBdr>
      <w:divsChild>
        <w:div w:id="1782724446">
          <w:marLeft w:val="720"/>
          <w:marRight w:val="0"/>
          <w:marTop w:val="115"/>
          <w:marBottom w:val="0"/>
          <w:divBdr>
            <w:top w:val="none" w:sz="0" w:space="0" w:color="auto"/>
            <w:left w:val="none" w:sz="0" w:space="0" w:color="auto"/>
            <w:bottom w:val="none" w:sz="0" w:space="0" w:color="auto"/>
            <w:right w:val="none" w:sz="0" w:space="0" w:color="auto"/>
          </w:divBdr>
        </w:div>
      </w:divsChild>
    </w:div>
    <w:div w:id="942686470">
      <w:bodyDiv w:val="1"/>
      <w:marLeft w:val="0"/>
      <w:marRight w:val="0"/>
      <w:marTop w:val="0"/>
      <w:marBottom w:val="0"/>
      <w:divBdr>
        <w:top w:val="none" w:sz="0" w:space="0" w:color="auto"/>
        <w:left w:val="none" w:sz="0" w:space="0" w:color="auto"/>
        <w:bottom w:val="none" w:sz="0" w:space="0" w:color="auto"/>
        <w:right w:val="none" w:sz="0" w:space="0" w:color="auto"/>
      </w:divBdr>
      <w:divsChild>
        <w:div w:id="1912891134">
          <w:marLeft w:val="0"/>
          <w:marRight w:val="0"/>
          <w:marTop w:val="0"/>
          <w:marBottom w:val="0"/>
          <w:divBdr>
            <w:top w:val="none" w:sz="0" w:space="0" w:color="auto"/>
            <w:left w:val="none" w:sz="0" w:space="0" w:color="auto"/>
            <w:bottom w:val="none" w:sz="0" w:space="0" w:color="auto"/>
            <w:right w:val="none" w:sz="0" w:space="0" w:color="auto"/>
          </w:divBdr>
          <w:divsChild>
            <w:div w:id="827285724">
              <w:marLeft w:val="0"/>
              <w:marRight w:val="0"/>
              <w:marTop w:val="0"/>
              <w:marBottom w:val="0"/>
              <w:divBdr>
                <w:top w:val="none" w:sz="0" w:space="0" w:color="auto"/>
                <w:left w:val="none" w:sz="0" w:space="0" w:color="auto"/>
                <w:bottom w:val="none" w:sz="0" w:space="0" w:color="auto"/>
                <w:right w:val="none" w:sz="0" w:space="0" w:color="auto"/>
              </w:divBdr>
              <w:divsChild>
                <w:div w:id="1729913437">
                  <w:marLeft w:val="0"/>
                  <w:marRight w:val="0"/>
                  <w:marTop w:val="0"/>
                  <w:marBottom w:val="0"/>
                  <w:divBdr>
                    <w:top w:val="none" w:sz="0" w:space="0" w:color="auto"/>
                    <w:left w:val="none" w:sz="0" w:space="0" w:color="auto"/>
                    <w:bottom w:val="none" w:sz="0" w:space="0" w:color="auto"/>
                    <w:right w:val="none" w:sz="0" w:space="0" w:color="auto"/>
                  </w:divBdr>
                  <w:divsChild>
                    <w:div w:id="306517386">
                      <w:marLeft w:val="0"/>
                      <w:marRight w:val="0"/>
                      <w:marTop w:val="0"/>
                      <w:marBottom w:val="0"/>
                      <w:divBdr>
                        <w:top w:val="none" w:sz="0" w:space="0" w:color="auto"/>
                        <w:left w:val="none" w:sz="0" w:space="0" w:color="auto"/>
                        <w:bottom w:val="none" w:sz="0" w:space="0" w:color="auto"/>
                        <w:right w:val="none" w:sz="0" w:space="0" w:color="auto"/>
                      </w:divBdr>
                      <w:divsChild>
                        <w:div w:id="1315912622">
                          <w:marLeft w:val="0"/>
                          <w:marRight w:val="0"/>
                          <w:marTop w:val="0"/>
                          <w:marBottom w:val="0"/>
                          <w:divBdr>
                            <w:top w:val="none" w:sz="0" w:space="0" w:color="auto"/>
                            <w:left w:val="none" w:sz="0" w:space="0" w:color="auto"/>
                            <w:bottom w:val="none" w:sz="0" w:space="0" w:color="auto"/>
                            <w:right w:val="none" w:sz="0" w:space="0" w:color="auto"/>
                          </w:divBdr>
                          <w:divsChild>
                            <w:div w:id="332538327">
                              <w:marLeft w:val="0"/>
                              <w:marRight w:val="0"/>
                              <w:marTop w:val="0"/>
                              <w:marBottom w:val="0"/>
                              <w:divBdr>
                                <w:top w:val="none" w:sz="0" w:space="0" w:color="auto"/>
                                <w:left w:val="none" w:sz="0" w:space="0" w:color="auto"/>
                                <w:bottom w:val="none" w:sz="0" w:space="0" w:color="auto"/>
                                <w:right w:val="none" w:sz="0" w:space="0" w:color="auto"/>
                              </w:divBdr>
                              <w:divsChild>
                                <w:div w:id="1846355264">
                                  <w:marLeft w:val="0"/>
                                  <w:marRight w:val="0"/>
                                  <w:marTop w:val="0"/>
                                  <w:marBottom w:val="0"/>
                                  <w:divBdr>
                                    <w:top w:val="none" w:sz="0" w:space="0" w:color="auto"/>
                                    <w:left w:val="none" w:sz="0" w:space="0" w:color="auto"/>
                                    <w:bottom w:val="none" w:sz="0" w:space="0" w:color="auto"/>
                                    <w:right w:val="none" w:sz="0" w:space="0" w:color="auto"/>
                                  </w:divBdr>
                                  <w:divsChild>
                                    <w:div w:id="510149032">
                                      <w:marLeft w:val="0"/>
                                      <w:marRight w:val="0"/>
                                      <w:marTop w:val="0"/>
                                      <w:marBottom w:val="0"/>
                                      <w:divBdr>
                                        <w:top w:val="none" w:sz="0" w:space="0" w:color="auto"/>
                                        <w:left w:val="none" w:sz="0" w:space="0" w:color="auto"/>
                                        <w:bottom w:val="none" w:sz="0" w:space="0" w:color="auto"/>
                                        <w:right w:val="none" w:sz="0" w:space="0" w:color="auto"/>
                                      </w:divBdr>
                                      <w:divsChild>
                                        <w:div w:id="1669937534">
                                          <w:marLeft w:val="0"/>
                                          <w:marRight w:val="0"/>
                                          <w:marTop w:val="0"/>
                                          <w:marBottom w:val="0"/>
                                          <w:divBdr>
                                            <w:top w:val="none" w:sz="0" w:space="0" w:color="auto"/>
                                            <w:left w:val="none" w:sz="0" w:space="0" w:color="auto"/>
                                            <w:bottom w:val="none" w:sz="0" w:space="0" w:color="auto"/>
                                            <w:right w:val="none" w:sz="0" w:space="0" w:color="auto"/>
                                          </w:divBdr>
                                          <w:divsChild>
                                            <w:div w:id="1187449636">
                                              <w:marLeft w:val="0"/>
                                              <w:marRight w:val="0"/>
                                              <w:marTop w:val="0"/>
                                              <w:marBottom w:val="0"/>
                                              <w:divBdr>
                                                <w:top w:val="none" w:sz="0" w:space="0" w:color="auto"/>
                                                <w:left w:val="none" w:sz="0" w:space="0" w:color="auto"/>
                                                <w:bottom w:val="none" w:sz="0" w:space="0" w:color="auto"/>
                                                <w:right w:val="none" w:sz="0" w:space="0" w:color="auto"/>
                                              </w:divBdr>
                                              <w:divsChild>
                                                <w:div w:id="3805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029083">
      <w:bodyDiv w:val="1"/>
      <w:marLeft w:val="0"/>
      <w:marRight w:val="0"/>
      <w:marTop w:val="0"/>
      <w:marBottom w:val="0"/>
      <w:divBdr>
        <w:top w:val="none" w:sz="0" w:space="0" w:color="auto"/>
        <w:left w:val="none" w:sz="0" w:space="0" w:color="auto"/>
        <w:bottom w:val="none" w:sz="0" w:space="0" w:color="auto"/>
        <w:right w:val="none" w:sz="0" w:space="0" w:color="auto"/>
      </w:divBdr>
      <w:divsChild>
        <w:div w:id="778372218">
          <w:marLeft w:val="0"/>
          <w:marRight w:val="0"/>
          <w:marTop w:val="0"/>
          <w:marBottom w:val="0"/>
          <w:divBdr>
            <w:top w:val="none" w:sz="0" w:space="0" w:color="auto"/>
            <w:left w:val="none" w:sz="0" w:space="0" w:color="auto"/>
            <w:bottom w:val="none" w:sz="0" w:space="0" w:color="auto"/>
            <w:right w:val="none" w:sz="0" w:space="0" w:color="auto"/>
          </w:divBdr>
          <w:divsChild>
            <w:div w:id="153305150">
              <w:marLeft w:val="0"/>
              <w:marRight w:val="0"/>
              <w:marTop w:val="0"/>
              <w:marBottom w:val="0"/>
              <w:divBdr>
                <w:top w:val="none" w:sz="0" w:space="0" w:color="auto"/>
                <w:left w:val="none" w:sz="0" w:space="0" w:color="auto"/>
                <w:bottom w:val="none" w:sz="0" w:space="0" w:color="auto"/>
                <w:right w:val="none" w:sz="0" w:space="0" w:color="auto"/>
              </w:divBdr>
              <w:divsChild>
                <w:div w:id="15659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0561">
      <w:bodyDiv w:val="1"/>
      <w:marLeft w:val="0"/>
      <w:marRight w:val="0"/>
      <w:marTop w:val="0"/>
      <w:marBottom w:val="0"/>
      <w:divBdr>
        <w:top w:val="none" w:sz="0" w:space="0" w:color="auto"/>
        <w:left w:val="none" w:sz="0" w:space="0" w:color="auto"/>
        <w:bottom w:val="none" w:sz="0" w:space="0" w:color="auto"/>
        <w:right w:val="none" w:sz="0" w:space="0" w:color="auto"/>
      </w:divBdr>
    </w:div>
    <w:div w:id="1181310223">
      <w:bodyDiv w:val="1"/>
      <w:marLeft w:val="0"/>
      <w:marRight w:val="0"/>
      <w:marTop w:val="0"/>
      <w:marBottom w:val="0"/>
      <w:divBdr>
        <w:top w:val="none" w:sz="0" w:space="0" w:color="auto"/>
        <w:left w:val="none" w:sz="0" w:space="0" w:color="auto"/>
        <w:bottom w:val="none" w:sz="0" w:space="0" w:color="auto"/>
        <w:right w:val="none" w:sz="0" w:space="0" w:color="auto"/>
      </w:divBdr>
    </w:div>
    <w:div w:id="1246181772">
      <w:bodyDiv w:val="1"/>
      <w:marLeft w:val="0"/>
      <w:marRight w:val="0"/>
      <w:marTop w:val="0"/>
      <w:marBottom w:val="0"/>
      <w:divBdr>
        <w:top w:val="none" w:sz="0" w:space="0" w:color="auto"/>
        <w:left w:val="none" w:sz="0" w:space="0" w:color="auto"/>
        <w:bottom w:val="none" w:sz="0" w:space="0" w:color="auto"/>
        <w:right w:val="none" w:sz="0" w:space="0" w:color="auto"/>
      </w:divBdr>
    </w:div>
    <w:div w:id="1278487999">
      <w:bodyDiv w:val="1"/>
      <w:marLeft w:val="0"/>
      <w:marRight w:val="0"/>
      <w:marTop w:val="0"/>
      <w:marBottom w:val="0"/>
      <w:divBdr>
        <w:top w:val="none" w:sz="0" w:space="0" w:color="auto"/>
        <w:left w:val="none" w:sz="0" w:space="0" w:color="auto"/>
        <w:bottom w:val="none" w:sz="0" w:space="0" w:color="auto"/>
        <w:right w:val="none" w:sz="0" w:space="0" w:color="auto"/>
      </w:divBdr>
    </w:div>
    <w:div w:id="1304850262">
      <w:bodyDiv w:val="1"/>
      <w:marLeft w:val="0"/>
      <w:marRight w:val="0"/>
      <w:marTop w:val="0"/>
      <w:marBottom w:val="0"/>
      <w:divBdr>
        <w:top w:val="none" w:sz="0" w:space="0" w:color="auto"/>
        <w:left w:val="none" w:sz="0" w:space="0" w:color="auto"/>
        <w:bottom w:val="none" w:sz="0" w:space="0" w:color="auto"/>
        <w:right w:val="none" w:sz="0" w:space="0" w:color="auto"/>
      </w:divBdr>
    </w:div>
    <w:div w:id="1341197247">
      <w:bodyDiv w:val="1"/>
      <w:marLeft w:val="0"/>
      <w:marRight w:val="0"/>
      <w:marTop w:val="0"/>
      <w:marBottom w:val="0"/>
      <w:divBdr>
        <w:top w:val="none" w:sz="0" w:space="0" w:color="auto"/>
        <w:left w:val="none" w:sz="0" w:space="0" w:color="auto"/>
        <w:bottom w:val="none" w:sz="0" w:space="0" w:color="auto"/>
        <w:right w:val="none" w:sz="0" w:space="0" w:color="auto"/>
      </w:divBdr>
    </w:div>
    <w:div w:id="1360814206">
      <w:bodyDiv w:val="1"/>
      <w:marLeft w:val="0"/>
      <w:marRight w:val="0"/>
      <w:marTop w:val="0"/>
      <w:marBottom w:val="0"/>
      <w:divBdr>
        <w:top w:val="none" w:sz="0" w:space="0" w:color="auto"/>
        <w:left w:val="none" w:sz="0" w:space="0" w:color="auto"/>
        <w:bottom w:val="none" w:sz="0" w:space="0" w:color="auto"/>
        <w:right w:val="none" w:sz="0" w:space="0" w:color="auto"/>
      </w:divBdr>
      <w:divsChild>
        <w:div w:id="1134369365">
          <w:marLeft w:val="0"/>
          <w:marRight w:val="0"/>
          <w:marTop w:val="0"/>
          <w:marBottom w:val="0"/>
          <w:divBdr>
            <w:top w:val="none" w:sz="0" w:space="0" w:color="auto"/>
            <w:left w:val="none" w:sz="0" w:space="0" w:color="auto"/>
            <w:bottom w:val="none" w:sz="0" w:space="0" w:color="auto"/>
            <w:right w:val="none" w:sz="0" w:space="0" w:color="auto"/>
          </w:divBdr>
          <w:divsChild>
            <w:div w:id="268707524">
              <w:marLeft w:val="0"/>
              <w:marRight w:val="0"/>
              <w:marTop w:val="0"/>
              <w:marBottom w:val="0"/>
              <w:divBdr>
                <w:top w:val="none" w:sz="0" w:space="0" w:color="auto"/>
                <w:left w:val="none" w:sz="0" w:space="0" w:color="auto"/>
                <w:bottom w:val="none" w:sz="0" w:space="0" w:color="auto"/>
                <w:right w:val="none" w:sz="0" w:space="0" w:color="auto"/>
              </w:divBdr>
            </w:div>
            <w:div w:id="4000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560">
      <w:bodyDiv w:val="1"/>
      <w:marLeft w:val="0"/>
      <w:marRight w:val="0"/>
      <w:marTop w:val="0"/>
      <w:marBottom w:val="0"/>
      <w:divBdr>
        <w:top w:val="none" w:sz="0" w:space="0" w:color="auto"/>
        <w:left w:val="none" w:sz="0" w:space="0" w:color="auto"/>
        <w:bottom w:val="none" w:sz="0" w:space="0" w:color="auto"/>
        <w:right w:val="none" w:sz="0" w:space="0" w:color="auto"/>
      </w:divBdr>
      <w:divsChild>
        <w:div w:id="1124084104">
          <w:marLeft w:val="0"/>
          <w:marRight w:val="0"/>
          <w:marTop w:val="0"/>
          <w:marBottom w:val="0"/>
          <w:divBdr>
            <w:top w:val="none" w:sz="0" w:space="0" w:color="auto"/>
            <w:left w:val="none" w:sz="0" w:space="0" w:color="auto"/>
            <w:bottom w:val="none" w:sz="0" w:space="0" w:color="auto"/>
            <w:right w:val="none" w:sz="0" w:space="0" w:color="auto"/>
          </w:divBdr>
          <w:divsChild>
            <w:div w:id="2322919">
              <w:marLeft w:val="0"/>
              <w:marRight w:val="0"/>
              <w:marTop w:val="0"/>
              <w:marBottom w:val="0"/>
              <w:divBdr>
                <w:top w:val="none" w:sz="0" w:space="0" w:color="auto"/>
                <w:left w:val="none" w:sz="0" w:space="0" w:color="auto"/>
                <w:bottom w:val="none" w:sz="0" w:space="0" w:color="auto"/>
                <w:right w:val="none" w:sz="0" w:space="0" w:color="auto"/>
              </w:divBdr>
              <w:divsChild>
                <w:div w:id="1019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5527">
      <w:bodyDiv w:val="1"/>
      <w:marLeft w:val="0"/>
      <w:marRight w:val="0"/>
      <w:marTop w:val="0"/>
      <w:marBottom w:val="0"/>
      <w:divBdr>
        <w:top w:val="none" w:sz="0" w:space="0" w:color="auto"/>
        <w:left w:val="none" w:sz="0" w:space="0" w:color="auto"/>
        <w:bottom w:val="none" w:sz="0" w:space="0" w:color="auto"/>
        <w:right w:val="none" w:sz="0" w:space="0" w:color="auto"/>
      </w:divBdr>
    </w:div>
    <w:div w:id="1508254282">
      <w:bodyDiv w:val="1"/>
      <w:marLeft w:val="0"/>
      <w:marRight w:val="0"/>
      <w:marTop w:val="0"/>
      <w:marBottom w:val="0"/>
      <w:divBdr>
        <w:top w:val="none" w:sz="0" w:space="0" w:color="auto"/>
        <w:left w:val="none" w:sz="0" w:space="0" w:color="auto"/>
        <w:bottom w:val="none" w:sz="0" w:space="0" w:color="auto"/>
        <w:right w:val="none" w:sz="0" w:space="0" w:color="auto"/>
      </w:divBdr>
    </w:div>
    <w:div w:id="1535802799">
      <w:bodyDiv w:val="1"/>
      <w:marLeft w:val="0"/>
      <w:marRight w:val="0"/>
      <w:marTop w:val="0"/>
      <w:marBottom w:val="0"/>
      <w:divBdr>
        <w:top w:val="none" w:sz="0" w:space="0" w:color="auto"/>
        <w:left w:val="none" w:sz="0" w:space="0" w:color="auto"/>
        <w:bottom w:val="none" w:sz="0" w:space="0" w:color="auto"/>
        <w:right w:val="none" w:sz="0" w:space="0" w:color="auto"/>
      </w:divBdr>
      <w:divsChild>
        <w:div w:id="1787843732">
          <w:marLeft w:val="0"/>
          <w:marRight w:val="0"/>
          <w:marTop w:val="0"/>
          <w:marBottom w:val="0"/>
          <w:divBdr>
            <w:top w:val="none" w:sz="0" w:space="0" w:color="auto"/>
            <w:left w:val="none" w:sz="0" w:space="0" w:color="auto"/>
            <w:bottom w:val="none" w:sz="0" w:space="0" w:color="auto"/>
            <w:right w:val="none" w:sz="0" w:space="0" w:color="auto"/>
          </w:divBdr>
          <w:divsChild>
            <w:div w:id="1449159347">
              <w:marLeft w:val="0"/>
              <w:marRight w:val="0"/>
              <w:marTop w:val="0"/>
              <w:marBottom w:val="0"/>
              <w:divBdr>
                <w:top w:val="none" w:sz="0" w:space="0" w:color="auto"/>
                <w:left w:val="none" w:sz="0" w:space="0" w:color="auto"/>
                <w:bottom w:val="none" w:sz="0" w:space="0" w:color="auto"/>
                <w:right w:val="none" w:sz="0" w:space="0" w:color="auto"/>
              </w:divBdr>
              <w:divsChild>
                <w:div w:id="13323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840">
      <w:bodyDiv w:val="1"/>
      <w:marLeft w:val="0"/>
      <w:marRight w:val="0"/>
      <w:marTop w:val="0"/>
      <w:marBottom w:val="0"/>
      <w:divBdr>
        <w:top w:val="none" w:sz="0" w:space="0" w:color="auto"/>
        <w:left w:val="none" w:sz="0" w:space="0" w:color="auto"/>
        <w:bottom w:val="none" w:sz="0" w:space="0" w:color="auto"/>
        <w:right w:val="none" w:sz="0" w:space="0" w:color="auto"/>
      </w:divBdr>
    </w:div>
    <w:div w:id="1598707323">
      <w:bodyDiv w:val="1"/>
      <w:marLeft w:val="0"/>
      <w:marRight w:val="0"/>
      <w:marTop w:val="0"/>
      <w:marBottom w:val="0"/>
      <w:divBdr>
        <w:top w:val="none" w:sz="0" w:space="0" w:color="auto"/>
        <w:left w:val="none" w:sz="0" w:space="0" w:color="auto"/>
        <w:bottom w:val="none" w:sz="0" w:space="0" w:color="auto"/>
        <w:right w:val="none" w:sz="0" w:space="0" w:color="auto"/>
      </w:divBdr>
    </w:div>
    <w:div w:id="1718434481">
      <w:bodyDiv w:val="1"/>
      <w:marLeft w:val="0"/>
      <w:marRight w:val="0"/>
      <w:marTop w:val="0"/>
      <w:marBottom w:val="0"/>
      <w:divBdr>
        <w:top w:val="none" w:sz="0" w:space="0" w:color="auto"/>
        <w:left w:val="none" w:sz="0" w:space="0" w:color="auto"/>
        <w:bottom w:val="none" w:sz="0" w:space="0" w:color="auto"/>
        <w:right w:val="none" w:sz="0" w:space="0" w:color="auto"/>
      </w:divBdr>
      <w:divsChild>
        <w:div w:id="600378144">
          <w:marLeft w:val="0"/>
          <w:marRight w:val="0"/>
          <w:marTop w:val="0"/>
          <w:marBottom w:val="0"/>
          <w:divBdr>
            <w:top w:val="none" w:sz="0" w:space="0" w:color="auto"/>
            <w:left w:val="none" w:sz="0" w:space="0" w:color="auto"/>
            <w:bottom w:val="none" w:sz="0" w:space="0" w:color="auto"/>
            <w:right w:val="none" w:sz="0" w:space="0" w:color="auto"/>
          </w:divBdr>
          <w:divsChild>
            <w:div w:id="2123453547">
              <w:marLeft w:val="0"/>
              <w:marRight w:val="0"/>
              <w:marTop w:val="0"/>
              <w:marBottom w:val="0"/>
              <w:divBdr>
                <w:top w:val="none" w:sz="0" w:space="0" w:color="auto"/>
                <w:left w:val="none" w:sz="0" w:space="0" w:color="auto"/>
                <w:bottom w:val="none" w:sz="0" w:space="0" w:color="auto"/>
                <w:right w:val="none" w:sz="0" w:space="0" w:color="auto"/>
              </w:divBdr>
              <w:divsChild>
                <w:div w:id="920603873">
                  <w:marLeft w:val="0"/>
                  <w:marRight w:val="0"/>
                  <w:marTop w:val="0"/>
                  <w:marBottom w:val="0"/>
                  <w:divBdr>
                    <w:top w:val="none" w:sz="0" w:space="0" w:color="auto"/>
                    <w:left w:val="none" w:sz="0" w:space="0" w:color="auto"/>
                    <w:bottom w:val="none" w:sz="0" w:space="0" w:color="auto"/>
                    <w:right w:val="none" w:sz="0" w:space="0" w:color="auto"/>
                  </w:divBdr>
                  <w:divsChild>
                    <w:div w:id="2095082705">
                      <w:marLeft w:val="0"/>
                      <w:marRight w:val="0"/>
                      <w:marTop w:val="0"/>
                      <w:marBottom w:val="0"/>
                      <w:divBdr>
                        <w:top w:val="none" w:sz="0" w:space="0" w:color="auto"/>
                        <w:left w:val="none" w:sz="0" w:space="0" w:color="auto"/>
                        <w:bottom w:val="none" w:sz="0" w:space="0" w:color="auto"/>
                        <w:right w:val="none" w:sz="0" w:space="0" w:color="auto"/>
                      </w:divBdr>
                      <w:divsChild>
                        <w:div w:id="1476482627">
                          <w:marLeft w:val="0"/>
                          <w:marRight w:val="0"/>
                          <w:marTop w:val="0"/>
                          <w:marBottom w:val="0"/>
                          <w:divBdr>
                            <w:top w:val="none" w:sz="0" w:space="0" w:color="auto"/>
                            <w:left w:val="none" w:sz="0" w:space="0" w:color="auto"/>
                            <w:bottom w:val="none" w:sz="0" w:space="0" w:color="auto"/>
                            <w:right w:val="none" w:sz="0" w:space="0" w:color="auto"/>
                          </w:divBdr>
                          <w:divsChild>
                            <w:div w:id="2113936518">
                              <w:marLeft w:val="0"/>
                              <w:marRight w:val="0"/>
                              <w:marTop w:val="0"/>
                              <w:marBottom w:val="0"/>
                              <w:divBdr>
                                <w:top w:val="none" w:sz="0" w:space="0" w:color="auto"/>
                                <w:left w:val="none" w:sz="0" w:space="0" w:color="auto"/>
                                <w:bottom w:val="none" w:sz="0" w:space="0" w:color="auto"/>
                                <w:right w:val="none" w:sz="0" w:space="0" w:color="auto"/>
                              </w:divBdr>
                              <w:divsChild>
                                <w:div w:id="453056890">
                                  <w:marLeft w:val="0"/>
                                  <w:marRight w:val="0"/>
                                  <w:marTop w:val="0"/>
                                  <w:marBottom w:val="0"/>
                                  <w:divBdr>
                                    <w:top w:val="none" w:sz="0" w:space="0" w:color="auto"/>
                                    <w:left w:val="none" w:sz="0" w:space="0" w:color="auto"/>
                                    <w:bottom w:val="none" w:sz="0" w:space="0" w:color="auto"/>
                                    <w:right w:val="none" w:sz="0" w:space="0" w:color="auto"/>
                                  </w:divBdr>
                                  <w:divsChild>
                                    <w:div w:id="2015523642">
                                      <w:marLeft w:val="0"/>
                                      <w:marRight w:val="0"/>
                                      <w:marTop w:val="0"/>
                                      <w:marBottom w:val="0"/>
                                      <w:divBdr>
                                        <w:top w:val="none" w:sz="0" w:space="0" w:color="auto"/>
                                        <w:left w:val="none" w:sz="0" w:space="0" w:color="auto"/>
                                        <w:bottom w:val="none" w:sz="0" w:space="0" w:color="auto"/>
                                        <w:right w:val="none" w:sz="0" w:space="0" w:color="auto"/>
                                      </w:divBdr>
                                      <w:divsChild>
                                        <w:div w:id="1687097398">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0"/>
                                              <w:divBdr>
                                                <w:top w:val="none" w:sz="0" w:space="0" w:color="auto"/>
                                                <w:left w:val="none" w:sz="0" w:space="0" w:color="auto"/>
                                                <w:bottom w:val="none" w:sz="0" w:space="0" w:color="auto"/>
                                                <w:right w:val="none" w:sz="0" w:space="0" w:color="auto"/>
                                              </w:divBdr>
                                              <w:divsChild>
                                                <w:div w:id="10147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517814">
      <w:bodyDiv w:val="1"/>
      <w:marLeft w:val="0"/>
      <w:marRight w:val="0"/>
      <w:marTop w:val="0"/>
      <w:marBottom w:val="0"/>
      <w:divBdr>
        <w:top w:val="none" w:sz="0" w:space="0" w:color="auto"/>
        <w:left w:val="none" w:sz="0" w:space="0" w:color="auto"/>
        <w:bottom w:val="none" w:sz="0" w:space="0" w:color="auto"/>
        <w:right w:val="none" w:sz="0" w:space="0" w:color="auto"/>
      </w:divBdr>
    </w:div>
    <w:div w:id="1773672191">
      <w:bodyDiv w:val="1"/>
      <w:marLeft w:val="0"/>
      <w:marRight w:val="0"/>
      <w:marTop w:val="0"/>
      <w:marBottom w:val="0"/>
      <w:divBdr>
        <w:top w:val="none" w:sz="0" w:space="0" w:color="auto"/>
        <w:left w:val="none" w:sz="0" w:space="0" w:color="auto"/>
        <w:bottom w:val="none" w:sz="0" w:space="0" w:color="auto"/>
        <w:right w:val="none" w:sz="0" w:space="0" w:color="auto"/>
      </w:divBdr>
      <w:divsChild>
        <w:div w:id="55327110">
          <w:marLeft w:val="0"/>
          <w:marRight w:val="0"/>
          <w:marTop w:val="0"/>
          <w:marBottom w:val="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sChild>
                <w:div w:id="801311451">
                  <w:marLeft w:val="0"/>
                  <w:marRight w:val="0"/>
                  <w:marTop w:val="0"/>
                  <w:marBottom w:val="0"/>
                  <w:divBdr>
                    <w:top w:val="none" w:sz="0" w:space="0" w:color="auto"/>
                    <w:left w:val="none" w:sz="0" w:space="0" w:color="auto"/>
                    <w:bottom w:val="none" w:sz="0" w:space="0" w:color="auto"/>
                    <w:right w:val="none" w:sz="0" w:space="0" w:color="auto"/>
                  </w:divBdr>
                  <w:divsChild>
                    <w:div w:id="1418553809">
                      <w:marLeft w:val="0"/>
                      <w:marRight w:val="0"/>
                      <w:marTop w:val="0"/>
                      <w:marBottom w:val="0"/>
                      <w:divBdr>
                        <w:top w:val="none" w:sz="0" w:space="0" w:color="auto"/>
                        <w:left w:val="none" w:sz="0" w:space="0" w:color="auto"/>
                        <w:bottom w:val="none" w:sz="0" w:space="0" w:color="auto"/>
                        <w:right w:val="none" w:sz="0" w:space="0" w:color="auto"/>
                      </w:divBdr>
                      <w:divsChild>
                        <w:div w:id="1855801461">
                          <w:marLeft w:val="0"/>
                          <w:marRight w:val="0"/>
                          <w:marTop w:val="0"/>
                          <w:marBottom w:val="0"/>
                          <w:divBdr>
                            <w:top w:val="none" w:sz="0" w:space="0" w:color="auto"/>
                            <w:left w:val="none" w:sz="0" w:space="0" w:color="auto"/>
                            <w:bottom w:val="none" w:sz="0" w:space="0" w:color="auto"/>
                            <w:right w:val="none" w:sz="0" w:space="0" w:color="auto"/>
                          </w:divBdr>
                          <w:divsChild>
                            <w:div w:id="2025742432">
                              <w:marLeft w:val="0"/>
                              <w:marRight w:val="0"/>
                              <w:marTop w:val="0"/>
                              <w:marBottom w:val="0"/>
                              <w:divBdr>
                                <w:top w:val="none" w:sz="0" w:space="0" w:color="auto"/>
                                <w:left w:val="none" w:sz="0" w:space="0" w:color="auto"/>
                                <w:bottom w:val="none" w:sz="0" w:space="0" w:color="auto"/>
                                <w:right w:val="none" w:sz="0" w:space="0" w:color="auto"/>
                              </w:divBdr>
                              <w:divsChild>
                                <w:div w:id="1442991930">
                                  <w:marLeft w:val="0"/>
                                  <w:marRight w:val="0"/>
                                  <w:marTop w:val="0"/>
                                  <w:marBottom w:val="0"/>
                                  <w:divBdr>
                                    <w:top w:val="none" w:sz="0" w:space="0" w:color="auto"/>
                                    <w:left w:val="none" w:sz="0" w:space="0" w:color="auto"/>
                                    <w:bottom w:val="none" w:sz="0" w:space="0" w:color="auto"/>
                                    <w:right w:val="none" w:sz="0" w:space="0" w:color="auto"/>
                                  </w:divBdr>
                                  <w:divsChild>
                                    <w:div w:id="650868893">
                                      <w:marLeft w:val="0"/>
                                      <w:marRight w:val="0"/>
                                      <w:marTop w:val="0"/>
                                      <w:marBottom w:val="0"/>
                                      <w:divBdr>
                                        <w:top w:val="none" w:sz="0" w:space="0" w:color="auto"/>
                                        <w:left w:val="none" w:sz="0" w:space="0" w:color="auto"/>
                                        <w:bottom w:val="none" w:sz="0" w:space="0" w:color="auto"/>
                                        <w:right w:val="none" w:sz="0" w:space="0" w:color="auto"/>
                                      </w:divBdr>
                                      <w:divsChild>
                                        <w:div w:id="498279511">
                                          <w:marLeft w:val="0"/>
                                          <w:marRight w:val="0"/>
                                          <w:marTop w:val="0"/>
                                          <w:marBottom w:val="0"/>
                                          <w:divBdr>
                                            <w:top w:val="none" w:sz="0" w:space="0" w:color="auto"/>
                                            <w:left w:val="none" w:sz="0" w:space="0" w:color="auto"/>
                                            <w:bottom w:val="none" w:sz="0" w:space="0" w:color="auto"/>
                                            <w:right w:val="none" w:sz="0" w:space="0" w:color="auto"/>
                                          </w:divBdr>
                                          <w:divsChild>
                                            <w:div w:id="1890265882">
                                              <w:marLeft w:val="0"/>
                                              <w:marRight w:val="0"/>
                                              <w:marTop w:val="0"/>
                                              <w:marBottom w:val="0"/>
                                              <w:divBdr>
                                                <w:top w:val="none" w:sz="0" w:space="0" w:color="auto"/>
                                                <w:left w:val="none" w:sz="0" w:space="0" w:color="auto"/>
                                                <w:bottom w:val="none" w:sz="0" w:space="0" w:color="auto"/>
                                                <w:right w:val="none" w:sz="0" w:space="0" w:color="auto"/>
                                              </w:divBdr>
                                              <w:divsChild>
                                                <w:div w:id="3520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325235">
      <w:bodyDiv w:val="1"/>
      <w:marLeft w:val="0"/>
      <w:marRight w:val="0"/>
      <w:marTop w:val="0"/>
      <w:marBottom w:val="0"/>
      <w:divBdr>
        <w:top w:val="none" w:sz="0" w:space="0" w:color="auto"/>
        <w:left w:val="none" w:sz="0" w:space="0" w:color="auto"/>
        <w:bottom w:val="none" w:sz="0" w:space="0" w:color="auto"/>
        <w:right w:val="none" w:sz="0" w:space="0" w:color="auto"/>
      </w:divBdr>
    </w:div>
    <w:div w:id="1812214312">
      <w:bodyDiv w:val="1"/>
      <w:marLeft w:val="0"/>
      <w:marRight w:val="0"/>
      <w:marTop w:val="0"/>
      <w:marBottom w:val="0"/>
      <w:divBdr>
        <w:top w:val="none" w:sz="0" w:space="0" w:color="auto"/>
        <w:left w:val="none" w:sz="0" w:space="0" w:color="auto"/>
        <w:bottom w:val="none" w:sz="0" w:space="0" w:color="auto"/>
        <w:right w:val="none" w:sz="0" w:space="0" w:color="auto"/>
      </w:divBdr>
    </w:div>
    <w:div w:id="1844280897">
      <w:bodyDiv w:val="1"/>
      <w:marLeft w:val="0"/>
      <w:marRight w:val="0"/>
      <w:marTop w:val="0"/>
      <w:marBottom w:val="0"/>
      <w:divBdr>
        <w:top w:val="none" w:sz="0" w:space="0" w:color="auto"/>
        <w:left w:val="none" w:sz="0" w:space="0" w:color="auto"/>
        <w:bottom w:val="none" w:sz="0" w:space="0" w:color="auto"/>
        <w:right w:val="none" w:sz="0" w:space="0" w:color="auto"/>
      </w:divBdr>
      <w:divsChild>
        <w:div w:id="534925500">
          <w:marLeft w:val="0"/>
          <w:marRight w:val="0"/>
          <w:marTop w:val="0"/>
          <w:marBottom w:val="0"/>
          <w:divBdr>
            <w:top w:val="none" w:sz="0" w:space="0" w:color="auto"/>
            <w:left w:val="none" w:sz="0" w:space="0" w:color="auto"/>
            <w:bottom w:val="none" w:sz="0" w:space="0" w:color="auto"/>
            <w:right w:val="none" w:sz="0" w:space="0" w:color="auto"/>
          </w:divBdr>
          <w:divsChild>
            <w:div w:id="720665392">
              <w:marLeft w:val="0"/>
              <w:marRight w:val="0"/>
              <w:marTop w:val="0"/>
              <w:marBottom w:val="0"/>
              <w:divBdr>
                <w:top w:val="none" w:sz="0" w:space="0" w:color="auto"/>
                <w:left w:val="none" w:sz="0" w:space="0" w:color="auto"/>
                <w:bottom w:val="none" w:sz="0" w:space="0" w:color="auto"/>
                <w:right w:val="none" w:sz="0" w:space="0" w:color="auto"/>
              </w:divBdr>
              <w:divsChild>
                <w:div w:id="1233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46281">
      <w:bodyDiv w:val="1"/>
      <w:marLeft w:val="0"/>
      <w:marRight w:val="0"/>
      <w:marTop w:val="0"/>
      <w:marBottom w:val="0"/>
      <w:divBdr>
        <w:top w:val="none" w:sz="0" w:space="0" w:color="auto"/>
        <w:left w:val="none" w:sz="0" w:space="0" w:color="auto"/>
        <w:bottom w:val="none" w:sz="0" w:space="0" w:color="auto"/>
        <w:right w:val="none" w:sz="0" w:space="0" w:color="auto"/>
      </w:divBdr>
    </w:div>
    <w:div w:id="1949965319">
      <w:bodyDiv w:val="1"/>
      <w:marLeft w:val="0"/>
      <w:marRight w:val="0"/>
      <w:marTop w:val="0"/>
      <w:marBottom w:val="0"/>
      <w:divBdr>
        <w:top w:val="none" w:sz="0" w:space="0" w:color="auto"/>
        <w:left w:val="none" w:sz="0" w:space="0" w:color="auto"/>
        <w:bottom w:val="none" w:sz="0" w:space="0" w:color="auto"/>
        <w:right w:val="none" w:sz="0" w:space="0" w:color="auto"/>
      </w:divBdr>
    </w:div>
    <w:div w:id="2033064463">
      <w:bodyDiv w:val="1"/>
      <w:marLeft w:val="0"/>
      <w:marRight w:val="0"/>
      <w:marTop w:val="0"/>
      <w:marBottom w:val="0"/>
      <w:divBdr>
        <w:top w:val="none" w:sz="0" w:space="0" w:color="auto"/>
        <w:left w:val="none" w:sz="0" w:space="0" w:color="auto"/>
        <w:bottom w:val="none" w:sz="0" w:space="0" w:color="auto"/>
        <w:right w:val="none" w:sz="0" w:space="0" w:color="auto"/>
      </w:divBdr>
    </w:div>
    <w:div w:id="2117940569">
      <w:bodyDiv w:val="1"/>
      <w:marLeft w:val="0"/>
      <w:marRight w:val="0"/>
      <w:marTop w:val="0"/>
      <w:marBottom w:val="0"/>
      <w:divBdr>
        <w:top w:val="none" w:sz="0" w:space="0" w:color="auto"/>
        <w:left w:val="none" w:sz="0" w:space="0" w:color="auto"/>
        <w:bottom w:val="none" w:sz="0" w:space="0" w:color="auto"/>
        <w:right w:val="none" w:sz="0" w:space="0" w:color="auto"/>
      </w:divBdr>
      <w:divsChild>
        <w:div w:id="317343679">
          <w:marLeft w:val="0"/>
          <w:marRight w:val="0"/>
          <w:marTop w:val="0"/>
          <w:marBottom w:val="0"/>
          <w:divBdr>
            <w:top w:val="none" w:sz="0" w:space="0" w:color="auto"/>
            <w:left w:val="none" w:sz="0" w:space="0" w:color="auto"/>
            <w:bottom w:val="none" w:sz="0" w:space="0" w:color="auto"/>
            <w:right w:val="none" w:sz="0" w:space="0" w:color="auto"/>
          </w:divBdr>
          <w:divsChild>
            <w:div w:id="432939101">
              <w:marLeft w:val="0"/>
              <w:marRight w:val="0"/>
              <w:marTop w:val="0"/>
              <w:marBottom w:val="0"/>
              <w:divBdr>
                <w:top w:val="none" w:sz="0" w:space="0" w:color="auto"/>
                <w:left w:val="none" w:sz="0" w:space="0" w:color="auto"/>
                <w:bottom w:val="none" w:sz="0" w:space="0" w:color="auto"/>
                <w:right w:val="none" w:sz="0" w:space="0" w:color="auto"/>
              </w:divBdr>
              <w:divsChild>
                <w:div w:id="14401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morris@commonfoodnames.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ilaterals.org/IMG/pdf/20180829123331.pdf" TargetMode="External"/><Relationship Id="rId2" Type="http://schemas.openxmlformats.org/officeDocument/2006/relationships/hyperlink" Target="https://www.nmpf.org/wp-content/uploads/2020/11/Letter-House-Common-Food-and-Wine-Terms-Letter-USTR-USDA-11.02.2020.pdf" TargetMode="External"/><Relationship Id="rId1" Type="http://schemas.openxmlformats.org/officeDocument/2006/relationships/hyperlink" Target="https://www.nmpf.org/wp-content/uploads/2020/07/Final-Senate-Thune-Stabenow-Letter-on-Common-Names-Letterhead-7.30.20_200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3C89-141D-445F-9B06-2864C195F3AA}">
  <ds:schemaRefs>
    <ds:schemaRef ds:uri="http://schemas.openxmlformats.org/officeDocument/2006/bibliography"/>
  </ds:schemaRefs>
</ds:datastoreItem>
</file>

<file path=customXml/itemProps2.xml><?xml version="1.0" encoding="utf-8"?>
<ds:datastoreItem xmlns:ds="http://schemas.openxmlformats.org/officeDocument/2006/customXml" ds:itemID="{96A68979-9A37-4120-B700-8DEA4DD6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8004</Words>
  <Characters>45629</Characters>
  <Application>Microsoft Office Word</Application>
  <DocSecurity>0</DocSecurity>
  <Lines>380</Lines>
  <Paragraphs>107</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Comments by the Consortium for Common Food Names</vt:lpstr>
      <vt:lpstr>Australia</vt:lpstr>
      <vt:lpstr>On June 2018 Australia and the EU launched negotiations for a free trade agreeme</vt:lpstr>
      <vt:lpstr/>
      <vt:lpstr>In addition to wide-spread usage of these terms in the Australian market, multip</vt:lpstr>
      <vt:lpstr/>
      <vt:lpstr>Australia has a well-designed and highly functioning IP system in place already </vt:lpstr>
      <vt:lpstr/>
      <vt:lpstr/>
      <vt:lpstr>Canada</vt:lpstr>
      <vt:lpstr>China</vt:lpstr>
      <vt:lpstr>Last year, China and the EU government signed a “100 for 100” GIs agreement whic</vt:lpstr>
      <vt:lpstr/>
      <vt:lpstr>We support the inclusion of assurances and due process procedures related to GIs</vt:lpstr>
      <vt:lpstr/>
      <vt:lpstr/>
      <vt:lpstr>Colombia</vt:lpstr>
      <vt:lpstr>Ecuador</vt:lpstr>
      <vt:lpstr/>
      <vt:lpstr>Europe</vt:lpstr>
      <vt:lpstr>Japan</vt:lpstr>
      <vt:lpstr>Malaysia</vt:lpstr>
      <vt:lpstr>Mexico</vt:lpstr>
      <vt:lpstr>Morocco</vt:lpstr>
      <vt:lpstr>Peru</vt:lpstr>
      <vt:lpstr/>
      <vt:lpstr>Philippines</vt:lpstr>
      <vt:lpstr>South Africa</vt:lpstr>
      <vt:lpstr>United Kingdom</vt:lpstr>
      <vt:lpstr>CCFN supports the continued pursuit of FTA negotiations with the UK in light of </vt:lpstr>
      <vt:lpstr/>
      <vt:lpstr>Given the UK’s historically reasonable approach to this issue we see ample room </vt:lpstr>
      <vt:lpstr>Vietnam</vt:lpstr>
      <vt:lpstr>The EU-Vietnam FTA was implemented last year. The agreement contains a number of</vt:lpstr>
      <vt:lpstr/>
      <vt:lpstr>While we firmly disagree with the decision to grant the EU GIs for these common </vt:lpstr>
      <vt:lpstr/>
      <vt:lpstr/>
    </vt:vector>
  </TitlesOfParts>
  <Company>Toshiba</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Pio Hernandez</dc:creator>
  <cp:keywords/>
  <dc:description/>
  <cp:lastModifiedBy>Tony Rice</cp:lastModifiedBy>
  <cp:revision>2</cp:revision>
  <cp:lastPrinted>2020-01-22T18:12:00Z</cp:lastPrinted>
  <dcterms:created xsi:type="dcterms:W3CDTF">2021-01-28T14:26:00Z</dcterms:created>
  <dcterms:modified xsi:type="dcterms:W3CDTF">2021-01-28T14:26:00Z</dcterms:modified>
</cp:coreProperties>
</file>